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3BC8D" w14:textId="4B02265C" w:rsidR="006A622B" w:rsidRDefault="00161B66">
      <w:r w:rsidRPr="006A622B">
        <w:rPr>
          <w:noProof/>
          <w:lang w:val="en-US"/>
        </w:rPr>
        <mc:AlternateContent>
          <mc:Choice Requires="wps">
            <w:drawing>
              <wp:anchor distT="0" distB="0" distL="114300" distR="114300" simplePos="0" relativeHeight="251664384" behindDoc="0" locked="0" layoutInCell="1" allowOverlap="1" wp14:anchorId="1ED9FB15" wp14:editId="24214A22">
                <wp:simplePos x="0" y="0"/>
                <wp:positionH relativeFrom="column">
                  <wp:posOffset>-718835</wp:posOffset>
                </wp:positionH>
                <wp:positionV relativeFrom="paragraph">
                  <wp:posOffset>-612580</wp:posOffset>
                </wp:positionV>
                <wp:extent cx="4761865" cy="1929225"/>
                <wp:effectExtent l="0" t="0" r="0" b="0"/>
                <wp:wrapNone/>
                <wp:docPr id="8" name="Text Box 8"/>
                <wp:cNvGraphicFramePr/>
                <a:graphic xmlns:a="http://schemas.openxmlformats.org/drawingml/2006/main">
                  <a:graphicData uri="http://schemas.microsoft.com/office/word/2010/wordprocessingShape">
                    <wps:wsp>
                      <wps:cNvSpPr txBox="1"/>
                      <wps:spPr>
                        <a:xfrm>
                          <a:off x="0" y="0"/>
                          <a:ext cx="4761865" cy="1929225"/>
                        </a:xfrm>
                        <a:prstGeom prst="rect">
                          <a:avLst/>
                        </a:prstGeom>
                        <a:noFill/>
                        <a:ln w="6350">
                          <a:noFill/>
                        </a:ln>
                      </wps:spPr>
                      <wps:txbx>
                        <w:txbxContent>
                          <w:p w14:paraId="32ACC1C5" w14:textId="77777777" w:rsidR="00984181" w:rsidRPr="00161B66" w:rsidRDefault="00984181" w:rsidP="00161B66">
                            <w:pPr>
                              <w:rPr>
                                <w:color w:val="FFFFFF" w:themeColor="background1"/>
                                <w:sz w:val="52"/>
                                <w:szCs w:val="18"/>
                              </w:rPr>
                            </w:pPr>
                            <w:r w:rsidRPr="00161B66">
                              <w:rPr>
                                <w:color w:val="FFFFFF" w:themeColor="background1"/>
                                <w:sz w:val="52"/>
                                <w:szCs w:val="18"/>
                              </w:rPr>
                              <w:t>Cadent ISG</w:t>
                            </w:r>
                          </w:p>
                          <w:p w14:paraId="23CE85A1" w14:textId="19D80418" w:rsidR="00984181" w:rsidRPr="00161B66" w:rsidRDefault="00984181" w:rsidP="006A622B">
                            <w:pPr>
                              <w:rPr>
                                <w:color w:val="FFFFFF" w:themeColor="background1"/>
                                <w:sz w:val="52"/>
                                <w:szCs w:val="18"/>
                              </w:rPr>
                            </w:pPr>
                            <w:r w:rsidRPr="00161B66">
                              <w:rPr>
                                <w:color w:val="FFFFFF" w:themeColor="background1"/>
                                <w:sz w:val="52"/>
                                <w:szCs w:val="18"/>
                              </w:rPr>
                              <w:t xml:space="preserve">Response to </w:t>
                            </w:r>
                            <w:r>
                              <w:rPr>
                                <w:color w:val="FFFFFF" w:themeColor="background1"/>
                                <w:sz w:val="52"/>
                                <w:szCs w:val="18"/>
                              </w:rPr>
                              <w:t xml:space="preserve">Ofgem on </w:t>
                            </w:r>
                            <w:r w:rsidRPr="00161B66">
                              <w:rPr>
                                <w:color w:val="FFFFFF" w:themeColor="background1"/>
                                <w:sz w:val="52"/>
                                <w:szCs w:val="18"/>
                              </w:rPr>
                              <w:t>Draft Determination Consultation</w:t>
                            </w:r>
                          </w:p>
                          <w:p w14:paraId="57D0FE2D" w14:textId="65F12C90" w:rsidR="00984181" w:rsidRPr="00161B66" w:rsidRDefault="00984181" w:rsidP="006A622B">
                            <w:pPr>
                              <w:rPr>
                                <w:color w:val="FFFFFF" w:themeColor="background1"/>
                                <w:sz w:val="32"/>
                                <w:szCs w:val="8"/>
                              </w:rPr>
                            </w:pPr>
                            <w:r>
                              <w:rPr>
                                <w:color w:val="FFFFFF" w:themeColor="background1"/>
                                <w:sz w:val="32"/>
                                <w:szCs w:val="8"/>
                              </w:rPr>
                              <w:t>A</w:t>
                            </w:r>
                            <w:r w:rsidRPr="00161B66">
                              <w:rPr>
                                <w:color w:val="FFFFFF" w:themeColor="background1"/>
                                <w:sz w:val="32"/>
                                <w:szCs w:val="8"/>
                              </w:rPr>
                              <w:t>ugust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56.55pt;margin-top:-48.2pt;width:374.95pt;height:15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" filled="f" stroked="f" strokeweight=".5pt">
                <v:textbox>
                  <w:txbxContent>
                    <w:p w14:paraId="32ACC1C5" w14:textId="77777777" w:rsidR="008B3919" w:rsidRPr="00161B66" w:rsidRDefault="008B3919" w:rsidP="00161B66">
                      <w:pPr>
                        <w:rPr>
                          <w:color w:val="FFFFFF" w:themeColor="background1"/>
                          <w:sz w:val="52"/>
                          <w:szCs w:val="18"/>
                        </w:rPr>
                      </w:pPr>
                      <w:r w:rsidRPr="00161B66">
                        <w:rPr>
                          <w:color w:val="FFFFFF" w:themeColor="background1"/>
                          <w:sz w:val="52"/>
                          <w:szCs w:val="18"/>
                        </w:rPr>
                        <w:t>Cadent ISG</w:t>
                      </w:r>
                    </w:p>
                    <w:p w14:paraId="23CE85A1" w14:textId="19D80418" w:rsidR="008B3919" w:rsidRPr="00161B66" w:rsidRDefault="008B3919" w:rsidP="006A622B">
                      <w:pPr>
                        <w:rPr>
                          <w:color w:val="FFFFFF" w:themeColor="background1"/>
                          <w:sz w:val="52"/>
                          <w:szCs w:val="18"/>
                        </w:rPr>
                      </w:pPr>
                      <w:r w:rsidRPr="00161B66">
                        <w:rPr>
                          <w:color w:val="FFFFFF" w:themeColor="background1"/>
                          <w:sz w:val="52"/>
                          <w:szCs w:val="18"/>
                        </w:rPr>
                        <w:t xml:space="preserve">Response to </w:t>
                      </w:r>
                      <w:r>
                        <w:rPr>
                          <w:color w:val="FFFFFF" w:themeColor="background1"/>
                          <w:sz w:val="52"/>
                          <w:szCs w:val="18"/>
                        </w:rPr>
                        <w:t xml:space="preserve">Ofgem on </w:t>
                      </w:r>
                      <w:r w:rsidRPr="00161B66">
                        <w:rPr>
                          <w:color w:val="FFFFFF" w:themeColor="background1"/>
                          <w:sz w:val="52"/>
                          <w:szCs w:val="18"/>
                        </w:rPr>
                        <w:t>Draft Determination Consultation</w:t>
                      </w:r>
                    </w:p>
                    <w:p w14:paraId="57D0FE2D" w14:textId="65F12C90" w:rsidR="008B3919" w:rsidRPr="00161B66" w:rsidRDefault="008B3919" w:rsidP="006A622B">
                      <w:pPr>
                        <w:rPr>
                          <w:color w:val="FFFFFF" w:themeColor="background1"/>
                          <w:sz w:val="32"/>
                          <w:szCs w:val="8"/>
                        </w:rPr>
                      </w:pPr>
                      <w:r>
                        <w:rPr>
                          <w:color w:val="FFFFFF" w:themeColor="background1"/>
                          <w:sz w:val="32"/>
                          <w:szCs w:val="8"/>
                        </w:rPr>
                        <w:t>A</w:t>
                      </w:r>
                      <w:r w:rsidRPr="00161B66">
                        <w:rPr>
                          <w:color w:val="FFFFFF" w:themeColor="background1"/>
                          <w:sz w:val="32"/>
                          <w:szCs w:val="8"/>
                        </w:rPr>
                        <w:t>ugust 2025</w:t>
                      </w:r>
                    </w:p>
                  </w:txbxContent>
                </v:textbox>
              </v:shape>
            </w:pict>
          </mc:Fallback>
        </mc:AlternateContent>
      </w:r>
      <w:r w:rsidRPr="006A622B">
        <w:rPr>
          <w:noProof/>
          <w:lang w:val="en-US"/>
        </w:rPr>
        <w:drawing>
          <wp:anchor distT="0" distB="0" distL="114300" distR="114300" simplePos="0" relativeHeight="251662336" behindDoc="1" locked="0" layoutInCell="1" allowOverlap="1" wp14:anchorId="7D61F46D" wp14:editId="218FC413">
            <wp:simplePos x="0" y="0"/>
            <wp:positionH relativeFrom="column">
              <wp:posOffset>3610230</wp:posOffset>
            </wp:positionH>
            <wp:positionV relativeFrom="paragraph">
              <wp:posOffset>-1199413</wp:posOffset>
            </wp:positionV>
            <wp:extent cx="2361312" cy="2508045"/>
            <wp:effectExtent l="0" t="228600" r="0" b="216535"/>
            <wp:wrapNone/>
            <wp:docPr id="2" name="Graphic 2" descr="colored transparent 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96DAC541-7B7A-43D3-8B79-37D633B846F1}">
                          <asvg:svgBlip xmlns:asvg="http://schemas.microsoft.com/office/drawing/2016/SVG/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0"/>
                        </a:ext>
                      </a:extLst>
                    </a:blip>
                    <a:stretch>
                      <a:fillRect/>
                    </a:stretch>
                  </pic:blipFill>
                  <pic:spPr>
                    <a:xfrm rot="20891491">
                      <a:off x="0" y="0"/>
                      <a:ext cx="2361312" cy="2508045"/>
                    </a:xfrm>
                    <a:prstGeom prst="rect">
                      <a:avLst/>
                    </a:prstGeom>
                  </pic:spPr>
                </pic:pic>
              </a:graphicData>
            </a:graphic>
            <wp14:sizeRelH relativeFrom="margin">
              <wp14:pctWidth>0</wp14:pctWidth>
            </wp14:sizeRelH>
            <wp14:sizeRelV relativeFrom="margin">
              <wp14:pctHeight>0</wp14:pctHeight>
            </wp14:sizeRelV>
          </wp:anchor>
        </w:drawing>
      </w:r>
      <w:r w:rsidRPr="000F3CD7">
        <w:rPr>
          <w:noProof/>
          <w:lang w:val="en-US"/>
        </w:rPr>
        <mc:AlternateContent>
          <mc:Choice Requires="wps">
            <w:drawing>
              <wp:anchor distT="0" distB="0" distL="114300" distR="114300" simplePos="0" relativeHeight="251658239" behindDoc="0" locked="0" layoutInCell="1" allowOverlap="1" wp14:anchorId="3AB3B4FC" wp14:editId="523A5E32">
                <wp:simplePos x="0" y="0"/>
                <wp:positionH relativeFrom="column">
                  <wp:posOffset>-2647950</wp:posOffset>
                </wp:positionH>
                <wp:positionV relativeFrom="paragraph">
                  <wp:posOffset>-693420</wp:posOffset>
                </wp:positionV>
                <wp:extent cx="7609205" cy="2186940"/>
                <wp:effectExtent l="0" t="0" r="0" b="3810"/>
                <wp:wrapNone/>
                <wp:docPr id="6" name="Parallelogram 6"/>
                <wp:cNvGraphicFramePr/>
                <a:graphic xmlns:a="http://schemas.openxmlformats.org/drawingml/2006/main">
                  <a:graphicData uri="http://schemas.microsoft.com/office/word/2010/wordprocessingShape">
                    <wps:wsp>
                      <wps:cNvSpPr/>
                      <wps:spPr>
                        <a:xfrm>
                          <a:off x="0" y="0"/>
                          <a:ext cx="7609205" cy="2186940"/>
                        </a:xfrm>
                        <a:prstGeom prst="parallelogram">
                          <a:avLst>
                            <a:gd name="adj" fmla="val 48452"/>
                          </a:avLst>
                        </a:prstGeom>
                        <a:solidFill>
                          <a:srgbClr val="ED7D31"/>
                        </a:solidFill>
                        <a:ln w="19050" cap="flat" cmpd="sng" algn="ctr">
                          <a:noFill/>
                          <a:prstDash val="solid"/>
                          <a:miter lim="800000"/>
                        </a:ln>
                        <a:effectLst/>
                      </wps:spPr>
                      <wps:txbx>
                        <w:txbxContent>
                          <w:p w14:paraId="408F1A24" w14:textId="77777777" w:rsidR="00984181" w:rsidRPr="000F3CD7" w:rsidRDefault="00984181" w:rsidP="000F3CD7">
                            <w:pPr>
                              <w:spacing w:after="0"/>
                              <w:rPr>
                                <w:b/>
                                <w:sz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 coordsize="21600,21600" o:spt="7" adj="5400" path="m@0,0l0,21600@1,21600,2160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6" o:spid="_x0000_s1027" type="#_x0000_t7" style="position:absolute;margin-left:-208.45pt;margin-top:-54.55pt;width:599.15pt;height:172.2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" adj="3008" fillcolor="#ed7d31" stroked="f" strokeweight="1.5pt">
                <v:textbox>
                  <w:txbxContent>
                    <w:p w14:paraId="408F1A24" w14:textId="77777777" w:rsidR="008B3919" w:rsidRPr="000F3CD7" w:rsidRDefault="008B3919" w:rsidP="000F3CD7">
                      <w:pPr>
                        <w:spacing w:after="0"/>
                        <w:rPr>
                          <w:b/>
                          <w:sz w:val="36"/>
                        </w:rPr>
                      </w:pPr>
                    </w:p>
                  </w:txbxContent>
                </v:textbox>
              </v:shape>
            </w:pict>
          </mc:Fallback>
        </mc:AlternateContent>
      </w:r>
    </w:p>
    <w:p w14:paraId="7C87C815" w14:textId="77777777" w:rsidR="00161B66" w:rsidRDefault="00161B66"/>
    <w:p w14:paraId="117BE556" w14:textId="77777777" w:rsidR="00161B66" w:rsidRDefault="00161B66"/>
    <w:p w14:paraId="4C99E279" w14:textId="77777777" w:rsidR="00161B66" w:rsidRDefault="00161B66"/>
    <w:p w14:paraId="6EC5347C" w14:textId="77777777" w:rsidR="00161B66" w:rsidRDefault="00161B66"/>
    <w:p w14:paraId="7EC28234" w14:textId="77777777" w:rsidR="00161B66" w:rsidRDefault="00161B66"/>
    <w:p w14:paraId="27DF4B1E" w14:textId="77777777" w:rsidR="00161B66" w:rsidRDefault="00161B66"/>
    <w:p w14:paraId="5A471DDC" w14:textId="73C44315" w:rsidR="00C651A7" w:rsidRPr="00161B66" w:rsidRDefault="00161B66">
      <w:pPr>
        <w:rPr>
          <w:b/>
          <w:bCs/>
        </w:rPr>
      </w:pPr>
      <w:r w:rsidRPr="00161B66">
        <w:rPr>
          <w:b/>
          <w:bCs/>
        </w:rPr>
        <w:t xml:space="preserve">Purpose of this Response </w:t>
      </w:r>
    </w:p>
    <w:p w14:paraId="6258BF17" w14:textId="5F80278D" w:rsidR="00D70929" w:rsidRPr="00D70929" w:rsidRDefault="00D70929" w:rsidP="00D70929">
      <w:pPr>
        <w:pStyle w:val="Default"/>
        <w:spacing w:after="120"/>
        <w:rPr>
          <w:rFonts w:asciiTheme="minorHAnsi" w:hAnsiTheme="minorHAnsi" w:cstheme="minorBidi"/>
          <w:color w:val="000000" w:themeColor="text1"/>
          <w:sz w:val="22"/>
          <w:szCs w:val="20"/>
          <w:lang w:val="en-US" w:eastAsia="en-US"/>
        </w:rPr>
      </w:pPr>
      <w:proofErr w:type="gramStart"/>
      <w:r w:rsidRPr="00D70929">
        <w:rPr>
          <w:rFonts w:asciiTheme="minorHAnsi" w:hAnsiTheme="minorHAnsi" w:cstheme="minorBidi"/>
          <w:color w:val="000000" w:themeColor="text1"/>
          <w:sz w:val="22"/>
          <w:szCs w:val="20"/>
          <w:lang w:val="en-US" w:eastAsia="en-US"/>
        </w:rPr>
        <w:t>This report has been produced by the Customer Challenge Group (CCG)</w:t>
      </w:r>
      <w:proofErr w:type="gramEnd"/>
      <w:r w:rsidRPr="00D70929">
        <w:rPr>
          <w:rFonts w:asciiTheme="minorHAnsi" w:hAnsiTheme="minorHAnsi" w:cstheme="minorBidi"/>
          <w:color w:val="000000" w:themeColor="text1"/>
          <w:sz w:val="22"/>
          <w:szCs w:val="20"/>
          <w:lang w:val="en-US" w:eastAsia="en-US"/>
        </w:rPr>
        <w:t xml:space="preserve"> for Cadent</w:t>
      </w:r>
      <w:r w:rsidR="008A4E48">
        <w:rPr>
          <w:rFonts w:asciiTheme="minorHAnsi" w:hAnsiTheme="minorHAnsi" w:cstheme="minorBidi"/>
          <w:color w:val="000000" w:themeColor="text1"/>
          <w:sz w:val="22"/>
          <w:szCs w:val="20"/>
          <w:lang w:val="en-US" w:eastAsia="en-US"/>
        </w:rPr>
        <w:t xml:space="preserve"> Gas</w:t>
      </w:r>
      <w:r w:rsidRPr="00D70929">
        <w:rPr>
          <w:rFonts w:asciiTheme="minorHAnsi" w:hAnsiTheme="minorHAnsi" w:cstheme="minorBidi"/>
          <w:color w:val="000000" w:themeColor="text1"/>
          <w:sz w:val="22"/>
          <w:szCs w:val="20"/>
          <w:lang w:val="en-US" w:eastAsia="en-US"/>
        </w:rPr>
        <w:t>, which as part of its remit, performs the role of the Independent Stakeholder Group as mandated by Ofgem</w:t>
      </w:r>
      <w:r>
        <w:rPr>
          <w:rFonts w:asciiTheme="minorHAnsi" w:hAnsiTheme="minorHAnsi" w:cstheme="minorBidi"/>
          <w:color w:val="000000" w:themeColor="text1"/>
          <w:sz w:val="22"/>
          <w:szCs w:val="20"/>
          <w:lang w:val="en-US" w:eastAsia="en-US"/>
        </w:rPr>
        <w:t xml:space="preserve"> from July 2024 onwards</w:t>
      </w:r>
      <w:r w:rsidRPr="00D70929">
        <w:rPr>
          <w:rFonts w:asciiTheme="minorHAnsi" w:hAnsiTheme="minorHAnsi" w:cstheme="minorBidi"/>
          <w:color w:val="000000" w:themeColor="text1"/>
          <w:sz w:val="22"/>
          <w:szCs w:val="20"/>
          <w:lang w:val="en-US" w:eastAsia="en-US"/>
        </w:rPr>
        <w:t xml:space="preserve">. The report constitutes the CCG’s response to Ofgem’s </w:t>
      </w:r>
      <w:r w:rsidR="00161B66">
        <w:rPr>
          <w:rFonts w:asciiTheme="minorHAnsi" w:hAnsiTheme="minorHAnsi" w:cstheme="minorBidi"/>
          <w:color w:val="000000" w:themeColor="text1"/>
          <w:sz w:val="22"/>
          <w:szCs w:val="20"/>
          <w:lang w:val="en-US" w:eastAsia="en-US"/>
        </w:rPr>
        <w:t xml:space="preserve">Consultation </w:t>
      </w:r>
      <w:r w:rsidRPr="00D70929">
        <w:rPr>
          <w:rFonts w:asciiTheme="minorHAnsi" w:hAnsiTheme="minorHAnsi" w:cstheme="minorBidi"/>
          <w:color w:val="000000" w:themeColor="text1"/>
          <w:sz w:val="22"/>
          <w:szCs w:val="20"/>
          <w:lang w:val="en-US" w:eastAsia="en-US"/>
        </w:rPr>
        <w:t xml:space="preserve">on </w:t>
      </w:r>
      <w:r w:rsidR="00161B66">
        <w:rPr>
          <w:rFonts w:asciiTheme="minorHAnsi" w:hAnsiTheme="minorHAnsi" w:cstheme="minorBidi"/>
          <w:color w:val="000000" w:themeColor="text1"/>
          <w:sz w:val="22"/>
          <w:szCs w:val="20"/>
          <w:lang w:val="en-US" w:eastAsia="en-US"/>
        </w:rPr>
        <w:t xml:space="preserve">its Draft Determination of </w:t>
      </w:r>
      <w:r w:rsidRPr="00D70929">
        <w:rPr>
          <w:rFonts w:asciiTheme="minorHAnsi" w:hAnsiTheme="minorHAnsi" w:cstheme="minorBidi"/>
          <w:color w:val="000000" w:themeColor="text1"/>
          <w:sz w:val="22"/>
          <w:szCs w:val="20"/>
          <w:lang w:val="en-US" w:eastAsia="en-US"/>
        </w:rPr>
        <w:t xml:space="preserve">Cadent’s RIIO3 Business Plan. </w:t>
      </w:r>
    </w:p>
    <w:p w14:paraId="18F10A69" w14:textId="0E3D9DA3" w:rsidR="00A83900" w:rsidRDefault="00161B66" w:rsidP="00D70929">
      <w:pPr>
        <w:pStyle w:val="Default"/>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 xml:space="preserve">This report is a brief follow-up, given our substantial input in the Call for Evidence Jan-25 and </w:t>
      </w:r>
      <w:r w:rsidR="007936E9">
        <w:rPr>
          <w:rFonts w:asciiTheme="minorHAnsi" w:hAnsiTheme="minorHAnsi" w:cstheme="minorBidi"/>
          <w:color w:val="000000" w:themeColor="text1"/>
          <w:sz w:val="22"/>
          <w:szCs w:val="20"/>
          <w:lang w:val="en-US" w:eastAsia="en-US"/>
        </w:rPr>
        <w:t xml:space="preserve">does not </w:t>
      </w:r>
      <w:r>
        <w:rPr>
          <w:rFonts w:asciiTheme="minorHAnsi" w:hAnsiTheme="minorHAnsi" w:cstheme="minorBidi"/>
          <w:color w:val="000000" w:themeColor="text1"/>
          <w:sz w:val="22"/>
          <w:szCs w:val="20"/>
          <w:lang w:val="en-US" w:eastAsia="en-US"/>
        </w:rPr>
        <w:t xml:space="preserve">duplicates </w:t>
      </w:r>
      <w:r w:rsidR="007936E9">
        <w:rPr>
          <w:rFonts w:asciiTheme="minorHAnsi" w:hAnsiTheme="minorHAnsi" w:cstheme="minorBidi"/>
          <w:color w:val="000000" w:themeColor="text1"/>
          <w:sz w:val="22"/>
          <w:szCs w:val="20"/>
          <w:lang w:val="en-US" w:eastAsia="en-US"/>
        </w:rPr>
        <w:t>any</w:t>
      </w:r>
      <w:r>
        <w:rPr>
          <w:rFonts w:asciiTheme="minorHAnsi" w:hAnsiTheme="minorHAnsi" w:cstheme="minorBidi"/>
          <w:color w:val="000000" w:themeColor="text1"/>
          <w:sz w:val="22"/>
          <w:szCs w:val="20"/>
          <w:lang w:val="en-US" w:eastAsia="en-US"/>
        </w:rPr>
        <w:t xml:space="preserve"> of that content here.</w:t>
      </w:r>
    </w:p>
    <w:p w14:paraId="669392E0" w14:textId="36B544B2" w:rsidR="00161B66" w:rsidRDefault="00161B66" w:rsidP="00D70929">
      <w:pPr>
        <w:pStyle w:val="Default"/>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 xml:space="preserve">We intend this report to </w:t>
      </w:r>
      <w:r w:rsidR="00054681">
        <w:rPr>
          <w:rFonts w:asciiTheme="minorHAnsi" w:hAnsiTheme="minorHAnsi" w:cstheme="minorBidi"/>
          <w:color w:val="000000" w:themeColor="text1"/>
          <w:sz w:val="22"/>
          <w:szCs w:val="20"/>
          <w:lang w:val="en-US" w:eastAsia="en-US"/>
        </w:rPr>
        <w:t xml:space="preserve">respond to only </w:t>
      </w:r>
      <w:r>
        <w:rPr>
          <w:rFonts w:asciiTheme="minorHAnsi" w:hAnsiTheme="minorHAnsi" w:cstheme="minorBidi"/>
          <w:color w:val="000000" w:themeColor="text1"/>
          <w:sz w:val="22"/>
          <w:szCs w:val="20"/>
          <w:lang w:val="en-US" w:eastAsia="en-US"/>
        </w:rPr>
        <w:t>the key areas where we have a distinct perspective</w:t>
      </w:r>
      <w:r w:rsidR="000A34C7">
        <w:rPr>
          <w:rFonts w:asciiTheme="minorHAnsi" w:hAnsiTheme="minorHAnsi" w:cstheme="minorBidi"/>
          <w:color w:val="000000" w:themeColor="text1"/>
          <w:sz w:val="22"/>
          <w:szCs w:val="20"/>
          <w:lang w:val="en-US" w:eastAsia="en-US"/>
        </w:rPr>
        <w:t xml:space="preserve"> and knowledge and where </w:t>
      </w:r>
      <w:r>
        <w:rPr>
          <w:rFonts w:asciiTheme="minorHAnsi" w:hAnsiTheme="minorHAnsi" w:cstheme="minorBidi"/>
          <w:color w:val="000000" w:themeColor="text1"/>
          <w:sz w:val="22"/>
          <w:szCs w:val="20"/>
          <w:lang w:val="en-US" w:eastAsia="en-US"/>
        </w:rPr>
        <w:t xml:space="preserve">we believe </w:t>
      </w:r>
      <w:r w:rsidR="000A34C7">
        <w:rPr>
          <w:rFonts w:asciiTheme="minorHAnsi" w:hAnsiTheme="minorHAnsi" w:cstheme="minorBidi"/>
          <w:color w:val="000000" w:themeColor="text1"/>
          <w:sz w:val="22"/>
          <w:szCs w:val="20"/>
          <w:lang w:val="en-US" w:eastAsia="en-US"/>
        </w:rPr>
        <w:t xml:space="preserve">it </w:t>
      </w:r>
      <w:r>
        <w:rPr>
          <w:rFonts w:asciiTheme="minorHAnsi" w:hAnsiTheme="minorHAnsi" w:cstheme="minorBidi"/>
          <w:color w:val="000000" w:themeColor="text1"/>
          <w:sz w:val="22"/>
          <w:szCs w:val="20"/>
          <w:lang w:val="en-US" w:eastAsia="en-US"/>
        </w:rPr>
        <w:t>to be in the interests of consumer</w:t>
      </w:r>
      <w:r w:rsidR="000A34C7">
        <w:rPr>
          <w:rFonts w:asciiTheme="minorHAnsi" w:hAnsiTheme="minorHAnsi" w:cstheme="minorBidi"/>
          <w:color w:val="000000" w:themeColor="text1"/>
          <w:sz w:val="22"/>
          <w:szCs w:val="20"/>
          <w:lang w:val="en-US" w:eastAsia="en-US"/>
        </w:rPr>
        <w:t>s</w:t>
      </w:r>
      <w:r>
        <w:rPr>
          <w:rFonts w:asciiTheme="minorHAnsi" w:hAnsiTheme="minorHAnsi" w:cstheme="minorBidi"/>
          <w:color w:val="000000" w:themeColor="text1"/>
          <w:sz w:val="22"/>
          <w:szCs w:val="20"/>
          <w:lang w:val="en-US" w:eastAsia="en-US"/>
        </w:rPr>
        <w:t xml:space="preserve"> and stakeholders</w:t>
      </w:r>
      <w:r w:rsidR="000A34C7">
        <w:rPr>
          <w:rFonts w:asciiTheme="minorHAnsi" w:hAnsiTheme="minorHAnsi" w:cstheme="minorBidi"/>
          <w:color w:val="000000" w:themeColor="text1"/>
          <w:sz w:val="22"/>
          <w:szCs w:val="20"/>
          <w:lang w:val="en-US" w:eastAsia="en-US"/>
        </w:rPr>
        <w:t xml:space="preserve"> – aligned with our remit</w:t>
      </w:r>
      <w:r>
        <w:rPr>
          <w:rFonts w:asciiTheme="minorHAnsi" w:hAnsiTheme="minorHAnsi" w:cstheme="minorBidi"/>
          <w:color w:val="000000" w:themeColor="text1"/>
          <w:sz w:val="22"/>
          <w:szCs w:val="20"/>
          <w:lang w:val="en-US" w:eastAsia="en-US"/>
        </w:rPr>
        <w:t>.</w:t>
      </w:r>
      <w:r w:rsidR="00054681">
        <w:rPr>
          <w:rFonts w:asciiTheme="minorHAnsi" w:hAnsiTheme="minorHAnsi" w:cstheme="minorBidi"/>
          <w:color w:val="000000" w:themeColor="text1"/>
          <w:sz w:val="22"/>
          <w:szCs w:val="20"/>
          <w:lang w:val="en-US" w:eastAsia="en-US"/>
        </w:rPr>
        <w:t xml:space="preserve"> </w:t>
      </w:r>
    </w:p>
    <w:p w14:paraId="64D1E67E" w14:textId="63193256" w:rsidR="00161B66" w:rsidRPr="00072C0B" w:rsidRDefault="000A34C7" w:rsidP="00D70929">
      <w:pPr>
        <w:pStyle w:val="Default"/>
        <w:spacing w:after="120"/>
        <w:rPr>
          <w:rFonts w:asciiTheme="minorHAnsi" w:hAnsiTheme="minorHAnsi" w:cstheme="minorBidi"/>
          <w:bCs/>
          <w:color w:val="000000" w:themeColor="text1"/>
          <w:sz w:val="22"/>
          <w:szCs w:val="20"/>
          <w:lang w:val="en-US" w:eastAsia="en-US"/>
        </w:rPr>
      </w:pPr>
      <w:r>
        <w:rPr>
          <w:rFonts w:asciiTheme="minorHAnsi" w:hAnsiTheme="minorHAnsi" w:cstheme="minorBidi"/>
          <w:bCs/>
          <w:color w:val="000000" w:themeColor="text1"/>
          <w:sz w:val="22"/>
          <w:szCs w:val="20"/>
          <w:lang w:val="en-US" w:eastAsia="en-US"/>
        </w:rPr>
        <w:t>To that end we have responses to the following questions:</w:t>
      </w:r>
    </w:p>
    <w:p w14:paraId="73926585" w14:textId="24EB63B9" w:rsidR="00161B66" w:rsidRDefault="00161B66" w:rsidP="00815810">
      <w:pPr>
        <w:pStyle w:val="Default"/>
        <w:numPr>
          <w:ilvl w:val="0"/>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 xml:space="preserve">Overview </w:t>
      </w:r>
      <w:r w:rsidR="0038639C">
        <w:rPr>
          <w:rFonts w:asciiTheme="minorHAnsi" w:hAnsiTheme="minorHAnsi" w:cstheme="minorBidi"/>
          <w:color w:val="000000" w:themeColor="text1"/>
          <w:sz w:val="22"/>
          <w:szCs w:val="20"/>
          <w:lang w:val="en-US" w:eastAsia="en-US"/>
        </w:rPr>
        <w:t>D</w:t>
      </w:r>
      <w:r>
        <w:rPr>
          <w:rFonts w:asciiTheme="minorHAnsi" w:hAnsiTheme="minorHAnsi" w:cstheme="minorBidi"/>
          <w:color w:val="000000" w:themeColor="text1"/>
          <w:sz w:val="22"/>
          <w:szCs w:val="20"/>
          <w:lang w:val="en-US" w:eastAsia="en-US"/>
        </w:rPr>
        <w:t>ocument questions</w:t>
      </w:r>
    </w:p>
    <w:p w14:paraId="39D42AF5" w14:textId="378656F5" w:rsidR="00161B66" w:rsidRDefault="00161B66" w:rsidP="00815810">
      <w:pPr>
        <w:pStyle w:val="Default"/>
        <w:numPr>
          <w:ilvl w:val="1"/>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OVQ1 (ISG role)</w:t>
      </w:r>
    </w:p>
    <w:p w14:paraId="7E2A38A6" w14:textId="2E26B1A9" w:rsidR="0038639C" w:rsidRDefault="003E02BA" w:rsidP="00815810">
      <w:pPr>
        <w:pStyle w:val="Default"/>
        <w:numPr>
          <w:ilvl w:val="1"/>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OVQ2 (EAP)</w:t>
      </w:r>
    </w:p>
    <w:p w14:paraId="409785DB" w14:textId="788E1647" w:rsidR="003E02BA" w:rsidRDefault="003E02BA" w:rsidP="00815810">
      <w:pPr>
        <w:pStyle w:val="Default"/>
        <w:numPr>
          <w:ilvl w:val="1"/>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OVQ33 (innovation)</w:t>
      </w:r>
    </w:p>
    <w:p w14:paraId="6A4A6217" w14:textId="17C05F3D" w:rsidR="003E02BA" w:rsidRDefault="003E02BA" w:rsidP="00815810">
      <w:pPr>
        <w:pStyle w:val="Default"/>
        <w:numPr>
          <w:ilvl w:val="1"/>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OVQ35 (cyber resilience)</w:t>
      </w:r>
    </w:p>
    <w:p w14:paraId="42B84E12" w14:textId="03F5C11A" w:rsidR="003E02BA" w:rsidRDefault="003E02BA" w:rsidP="00815810">
      <w:pPr>
        <w:pStyle w:val="Default"/>
        <w:numPr>
          <w:ilvl w:val="1"/>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OVQ36-38 (data &amp; digitalisation)</w:t>
      </w:r>
    </w:p>
    <w:p w14:paraId="627344A4" w14:textId="49BABB9F" w:rsidR="00161B66" w:rsidRDefault="0038639C" w:rsidP="00815810">
      <w:pPr>
        <w:pStyle w:val="Default"/>
        <w:numPr>
          <w:ilvl w:val="0"/>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Gas</w:t>
      </w:r>
      <w:r w:rsidR="00161B66">
        <w:rPr>
          <w:rFonts w:asciiTheme="minorHAnsi" w:hAnsiTheme="minorHAnsi" w:cstheme="minorBidi"/>
          <w:color w:val="000000" w:themeColor="text1"/>
          <w:sz w:val="22"/>
          <w:szCs w:val="20"/>
          <w:lang w:val="en-US" w:eastAsia="en-US"/>
        </w:rPr>
        <w:t xml:space="preserve"> Sector </w:t>
      </w:r>
      <w:r>
        <w:rPr>
          <w:rFonts w:asciiTheme="minorHAnsi" w:hAnsiTheme="minorHAnsi" w:cstheme="minorBidi"/>
          <w:color w:val="000000" w:themeColor="text1"/>
          <w:sz w:val="22"/>
          <w:szCs w:val="20"/>
          <w:lang w:val="en-US" w:eastAsia="en-US"/>
        </w:rPr>
        <w:t>Do</w:t>
      </w:r>
      <w:r w:rsidR="00161B66">
        <w:rPr>
          <w:rFonts w:asciiTheme="minorHAnsi" w:hAnsiTheme="minorHAnsi" w:cstheme="minorBidi"/>
          <w:color w:val="000000" w:themeColor="text1"/>
          <w:sz w:val="22"/>
          <w:szCs w:val="20"/>
          <w:lang w:val="en-US" w:eastAsia="en-US"/>
        </w:rPr>
        <w:t>cument questions</w:t>
      </w:r>
    </w:p>
    <w:p w14:paraId="619DDF80" w14:textId="180DE1FB" w:rsidR="00CF03BF" w:rsidRDefault="00CF03BF" w:rsidP="002F5362">
      <w:pPr>
        <w:pStyle w:val="Default"/>
        <w:numPr>
          <w:ilvl w:val="1"/>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GDQ1 (environment)</w:t>
      </w:r>
    </w:p>
    <w:p w14:paraId="080307E6" w14:textId="365ACA68" w:rsidR="00CF03BF" w:rsidRDefault="00CF03BF" w:rsidP="002F5362">
      <w:pPr>
        <w:pStyle w:val="Default"/>
        <w:numPr>
          <w:ilvl w:val="1"/>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GDQ2 (DPLA/ALD)</w:t>
      </w:r>
    </w:p>
    <w:p w14:paraId="3A137A01" w14:textId="464D60F3" w:rsidR="00CF03BF" w:rsidRDefault="00CF03BF" w:rsidP="002F5362">
      <w:pPr>
        <w:pStyle w:val="Default"/>
        <w:numPr>
          <w:ilvl w:val="1"/>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GDQ4 (RESP)</w:t>
      </w:r>
    </w:p>
    <w:p w14:paraId="2F4451DB" w14:textId="671311C7" w:rsidR="0038639C" w:rsidRDefault="00815810" w:rsidP="002F5362">
      <w:pPr>
        <w:pStyle w:val="Default"/>
        <w:numPr>
          <w:ilvl w:val="1"/>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 xml:space="preserve">GDQ17 (MOBs/non-MOBs) </w:t>
      </w:r>
    </w:p>
    <w:p w14:paraId="61656D9A" w14:textId="23633065" w:rsidR="002F5362" w:rsidRDefault="00815810" w:rsidP="002F5362">
      <w:pPr>
        <w:pStyle w:val="Default"/>
        <w:numPr>
          <w:ilvl w:val="1"/>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GDQ18 &amp; 19 (streetworks)</w:t>
      </w:r>
      <w:r w:rsidR="002F5362" w:rsidRPr="002F5362">
        <w:rPr>
          <w:rFonts w:asciiTheme="minorHAnsi" w:hAnsiTheme="minorHAnsi" w:cstheme="minorBidi"/>
          <w:color w:val="000000" w:themeColor="text1"/>
          <w:sz w:val="22"/>
          <w:szCs w:val="20"/>
          <w:lang w:val="en-US" w:eastAsia="en-US"/>
        </w:rPr>
        <w:t xml:space="preserve"> </w:t>
      </w:r>
    </w:p>
    <w:p w14:paraId="4027F3A1" w14:textId="3B4612E3" w:rsidR="00CF03BF" w:rsidRDefault="00CF03BF" w:rsidP="002F5362">
      <w:pPr>
        <w:pStyle w:val="Default"/>
        <w:numPr>
          <w:ilvl w:val="1"/>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GDQ20 (biomethane)</w:t>
      </w:r>
    </w:p>
    <w:p w14:paraId="39B7183B" w14:textId="2FB37BE4" w:rsidR="002F5362" w:rsidRDefault="002F5362" w:rsidP="002F5362">
      <w:pPr>
        <w:pStyle w:val="Default"/>
        <w:numPr>
          <w:ilvl w:val="0"/>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 xml:space="preserve">Cadent </w:t>
      </w:r>
      <w:r w:rsidR="0038639C">
        <w:rPr>
          <w:rFonts w:asciiTheme="minorHAnsi" w:hAnsiTheme="minorHAnsi" w:cstheme="minorBidi"/>
          <w:color w:val="000000" w:themeColor="text1"/>
          <w:sz w:val="22"/>
          <w:szCs w:val="20"/>
          <w:lang w:val="en-US" w:eastAsia="en-US"/>
        </w:rPr>
        <w:t>D</w:t>
      </w:r>
      <w:r>
        <w:rPr>
          <w:rFonts w:asciiTheme="minorHAnsi" w:hAnsiTheme="minorHAnsi" w:cstheme="minorBidi"/>
          <w:color w:val="000000" w:themeColor="text1"/>
          <w:sz w:val="22"/>
          <w:szCs w:val="20"/>
          <w:lang w:val="en-US" w:eastAsia="en-US"/>
        </w:rPr>
        <w:t>ocument questions</w:t>
      </w:r>
    </w:p>
    <w:p w14:paraId="75461225" w14:textId="77777777" w:rsidR="0038639C" w:rsidRDefault="002F5362" w:rsidP="002F5362">
      <w:pPr>
        <w:pStyle w:val="Default"/>
        <w:numPr>
          <w:ilvl w:val="1"/>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 xml:space="preserve">CADQ5 (rejection - leakage) </w:t>
      </w:r>
    </w:p>
    <w:p w14:paraId="0876B997" w14:textId="77777777" w:rsidR="0088386B" w:rsidRDefault="002F5362" w:rsidP="0088386B">
      <w:pPr>
        <w:pStyle w:val="Default"/>
        <w:numPr>
          <w:ilvl w:val="1"/>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CADQ6 (rejection – NZ transition)</w:t>
      </w:r>
    </w:p>
    <w:p w14:paraId="7EC93ABD" w14:textId="3F7B03C9" w:rsidR="0038639C" w:rsidRPr="0088386B" w:rsidRDefault="0088386B" w:rsidP="0088386B">
      <w:pPr>
        <w:pStyle w:val="Default"/>
        <w:numPr>
          <w:ilvl w:val="1"/>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CADQ11 (penalty – Stage C)</w:t>
      </w:r>
      <w:r w:rsidR="002F5362" w:rsidRPr="0088386B">
        <w:rPr>
          <w:rFonts w:asciiTheme="minorHAnsi" w:hAnsiTheme="minorHAnsi" w:cstheme="minorBidi"/>
          <w:color w:val="000000" w:themeColor="text1"/>
          <w:sz w:val="22"/>
          <w:szCs w:val="20"/>
          <w:lang w:val="en-US" w:eastAsia="en-US"/>
        </w:rPr>
        <w:t xml:space="preserve"> </w:t>
      </w:r>
    </w:p>
    <w:p w14:paraId="487E92D4" w14:textId="6BE9AE1B" w:rsidR="00815810" w:rsidRPr="002F5362" w:rsidRDefault="002F5362" w:rsidP="002F5362">
      <w:pPr>
        <w:pStyle w:val="Default"/>
        <w:numPr>
          <w:ilvl w:val="1"/>
          <w:numId w:val="9"/>
        </w:numPr>
        <w:spacing w:after="120"/>
        <w:rPr>
          <w:rFonts w:asciiTheme="minorHAnsi" w:hAnsiTheme="minorHAnsi" w:cstheme="minorBidi"/>
          <w:color w:val="000000" w:themeColor="text1"/>
          <w:sz w:val="22"/>
          <w:szCs w:val="20"/>
          <w:lang w:val="en-US" w:eastAsia="en-US"/>
        </w:rPr>
      </w:pPr>
      <w:r>
        <w:rPr>
          <w:rFonts w:asciiTheme="minorHAnsi" w:hAnsiTheme="minorHAnsi" w:cstheme="minorBidi"/>
          <w:color w:val="000000" w:themeColor="text1"/>
          <w:sz w:val="22"/>
          <w:szCs w:val="20"/>
          <w:lang w:val="en-US" w:eastAsia="en-US"/>
        </w:rPr>
        <w:t>CADQ16 (data &amp; digitalisation)</w:t>
      </w:r>
    </w:p>
    <w:p w14:paraId="78704276" w14:textId="77777777" w:rsidR="00C44940" w:rsidRDefault="00C44940">
      <w:pPr>
        <w:rPr>
          <w:rFonts w:eastAsiaTheme="minorEastAsia"/>
          <w:b/>
          <w:bCs/>
          <w:color w:val="000000" w:themeColor="text1"/>
          <w:szCs w:val="20"/>
          <w:lang w:val="en-US"/>
        </w:rPr>
      </w:pPr>
      <w:r>
        <w:rPr>
          <w:b/>
          <w:bCs/>
          <w:color w:val="000000" w:themeColor="text1"/>
          <w:szCs w:val="20"/>
          <w:lang w:val="en-US"/>
        </w:rPr>
        <w:br w:type="page"/>
      </w:r>
    </w:p>
    <w:p w14:paraId="5AE7A681" w14:textId="2C3B426E" w:rsidR="00815810" w:rsidRPr="00815810" w:rsidRDefault="00815810" w:rsidP="0038639C">
      <w:pPr>
        <w:pStyle w:val="Default"/>
        <w:numPr>
          <w:ilvl w:val="0"/>
          <w:numId w:val="10"/>
        </w:numPr>
        <w:pBdr>
          <w:bottom w:val="single" w:sz="4" w:space="1" w:color="auto"/>
        </w:pBdr>
        <w:spacing w:after="120"/>
        <w:ind w:left="360"/>
        <w:rPr>
          <w:rFonts w:asciiTheme="minorHAnsi" w:hAnsiTheme="minorHAnsi" w:cstheme="minorBidi"/>
          <w:b/>
          <w:bCs/>
          <w:color w:val="000000" w:themeColor="text1"/>
          <w:sz w:val="22"/>
          <w:szCs w:val="20"/>
          <w:lang w:val="en-US" w:eastAsia="en-US"/>
        </w:rPr>
      </w:pPr>
      <w:r>
        <w:rPr>
          <w:rFonts w:asciiTheme="minorHAnsi" w:hAnsiTheme="minorHAnsi" w:cstheme="minorBidi"/>
          <w:b/>
          <w:bCs/>
          <w:color w:val="000000" w:themeColor="text1"/>
          <w:sz w:val="22"/>
          <w:szCs w:val="20"/>
          <w:lang w:val="en-US" w:eastAsia="en-US"/>
        </w:rPr>
        <w:lastRenderedPageBreak/>
        <w:t>Overview</w:t>
      </w:r>
      <w:r w:rsidRPr="00815810">
        <w:rPr>
          <w:rFonts w:asciiTheme="minorHAnsi" w:hAnsiTheme="minorHAnsi" w:cstheme="minorBidi"/>
          <w:b/>
          <w:bCs/>
          <w:color w:val="000000" w:themeColor="text1"/>
          <w:sz w:val="22"/>
          <w:szCs w:val="20"/>
          <w:lang w:val="en-US" w:eastAsia="en-US"/>
        </w:rPr>
        <w:t xml:space="preserve"> </w:t>
      </w:r>
      <w:r w:rsidR="0038639C">
        <w:rPr>
          <w:rFonts w:asciiTheme="minorHAnsi" w:hAnsiTheme="minorHAnsi" w:cstheme="minorBidi"/>
          <w:b/>
          <w:bCs/>
          <w:color w:val="000000" w:themeColor="text1"/>
          <w:sz w:val="22"/>
          <w:szCs w:val="20"/>
          <w:lang w:val="en-US" w:eastAsia="en-US"/>
        </w:rPr>
        <w:t>Document</w:t>
      </w:r>
      <w:r w:rsidRPr="00815810">
        <w:rPr>
          <w:rFonts w:asciiTheme="minorHAnsi" w:hAnsiTheme="minorHAnsi" w:cstheme="minorBidi"/>
          <w:b/>
          <w:bCs/>
          <w:color w:val="000000" w:themeColor="text1"/>
          <w:sz w:val="22"/>
          <w:szCs w:val="20"/>
          <w:lang w:val="en-US" w:eastAsia="en-US"/>
        </w:rPr>
        <w:t xml:space="preserve"> Questions</w:t>
      </w:r>
    </w:p>
    <w:p w14:paraId="7D38529E" w14:textId="5B91B7CD" w:rsidR="007673CF" w:rsidRPr="002F5362" w:rsidRDefault="007673CF" w:rsidP="002D4B23">
      <w:pPr>
        <w:ind w:left="567"/>
        <w:rPr>
          <w:rFonts w:eastAsia="Times New Roman" w:cstheme="minorHAnsi"/>
          <w:b/>
          <w:bCs/>
          <w:sz w:val="20"/>
          <w:szCs w:val="20"/>
        </w:rPr>
      </w:pPr>
      <w:r w:rsidRPr="002F5362">
        <w:rPr>
          <w:rFonts w:eastAsia="Times New Roman" w:cstheme="minorHAnsi"/>
          <w:b/>
          <w:bCs/>
          <w:sz w:val="20"/>
          <w:szCs w:val="20"/>
        </w:rPr>
        <w:t xml:space="preserve">OVQ1. We would welcome any views on the enduring role of the ISGs during RIIO-3 and for future price controls </w:t>
      </w:r>
    </w:p>
    <w:p w14:paraId="7B9CF07A" w14:textId="28EF7B5A" w:rsidR="00A64E23" w:rsidRPr="002D4B23" w:rsidRDefault="00A64E23" w:rsidP="002D4B23">
      <w:pPr>
        <w:spacing w:before="160" w:line="240" w:lineRule="auto"/>
        <w:ind w:left="567"/>
        <w:rPr>
          <w:rFonts w:ascii="Calibri Light" w:eastAsia="Times New Roman" w:hAnsi="Calibri Light" w:cs="Calibri Light"/>
          <w:sz w:val="20"/>
          <w:szCs w:val="20"/>
        </w:rPr>
      </w:pPr>
      <w:r w:rsidRPr="002D4B23">
        <w:rPr>
          <w:rFonts w:ascii="Calibri Light" w:eastAsia="Times New Roman" w:hAnsi="Calibri Light" w:cs="Calibri Light"/>
          <w:sz w:val="20"/>
          <w:szCs w:val="20"/>
        </w:rPr>
        <w:t>We believe that there are six key areas that are important</w:t>
      </w:r>
      <w:r w:rsidR="002F5362" w:rsidRPr="002D4B23">
        <w:rPr>
          <w:rFonts w:ascii="Calibri Light" w:eastAsia="Times New Roman" w:hAnsi="Calibri Light" w:cs="Calibri Light"/>
          <w:sz w:val="20"/>
          <w:szCs w:val="20"/>
        </w:rPr>
        <w:t xml:space="preserve"> when considering the ISG role</w:t>
      </w:r>
      <w:r w:rsidRPr="002D4B23">
        <w:rPr>
          <w:rFonts w:ascii="Calibri Light" w:eastAsia="Times New Roman" w:hAnsi="Calibri Light" w:cs="Calibri Light"/>
          <w:sz w:val="20"/>
          <w:szCs w:val="20"/>
        </w:rPr>
        <w:t>:</w:t>
      </w:r>
    </w:p>
    <w:p w14:paraId="4EC26125" w14:textId="052B5D76" w:rsidR="00A64E23" w:rsidRPr="000901FC" w:rsidRDefault="00A64E23" w:rsidP="002D4B23">
      <w:pPr>
        <w:pStyle w:val="ListParagraph"/>
        <w:numPr>
          <w:ilvl w:val="1"/>
          <w:numId w:val="18"/>
        </w:numPr>
        <w:spacing w:before="160" w:after="0" w:line="240" w:lineRule="auto"/>
        <w:rPr>
          <w:rFonts w:ascii="Calibri Light" w:eastAsia="Times New Roman" w:hAnsi="Calibri Light" w:cs="Calibri Light"/>
          <w:sz w:val="20"/>
          <w:szCs w:val="20"/>
        </w:rPr>
      </w:pPr>
      <w:r w:rsidRPr="00072C0B">
        <w:rPr>
          <w:rFonts w:ascii="Calibri Light" w:eastAsia="Times New Roman" w:hAnsi="Calibri Light" w:cs="Calibri Light"/>
          <w:b/>
          <w:sz w:val="20"/>
          <w:szCs w:val="20"/>
        </w:rPr>
        <w:t xml:space="preserve">Challenging the companies </w:t>
      </w:r>
      <w:r w:rsidRPr="00924AB5">
        <w:rPr>
          <w:rFonts w:ascii="Calibri Light" w:eastAsia="Times New Roman" w:hAnsi="Calibri Light" w:cs="Calibri Light"/>
          <w:sz w:val="20"/>
          <w:szCs w:val="20"/>
        </w:rPr>
        <w:t>on the creation of their Business Plans</w:t>
      </w:r>
      <w:r w:rsidR="002F5362" w:rsidRPr="00924AB5">
        <w:rPr>
          <w:rFonts w:ascii="Calibri Light" w:eastAsia="Times New Roman" w:hAnsi="Calibri Light" w:cs="Calibri Light"/>
          <w:sz w:val="20"/>
          <w:szCs w:val="20"/>
        </w:rPr>
        <w:t xml:space="preserve"> (both content and narrative)</w:t>
      </w:r>
    </w:p>
    <w:p w14:paraId="1215A6C7" w14:textId="6CB674A1" w:rsidR="00A64E23" w:rsidRPr="00924AB5" w:rsidRDefault="00A64E23" w:rsidP="002D4B23">
      <w:pPr>
        <w:pStyle w:val="ListParagraph"/>
        <w:numPr>
          <w:ilvl w:val="1"/>
          <w:numId w:val="18"/>
        </w:numPr>
        <w:spacing w:before="160" w:after="0" w:line="240" w:lineRule="auto"/>
        <w:rPr>
          <w:rFonts w:ascii="Calibri Light" w:eastAsia="Times New Roman" w:hAnsi="Calibri Light" w:cs="Calibri Light"/>
          <w:sz w:val="20"/>
          <w:szCs w:val="20"/>
        </w:rPr>
      </w:pPr>
      <w:r w:rsidRPr="00072C0B">
        <w:rPr>
          <w:rFonts w:ascii="Calibri Light" w:eastAsia="Times New Roman" w:hAnsi="Calibri Light" w:cs="Calibri Light"/>
          <w:b/>
          <w:sz w:val="20"/>
          <w:szCs w:val="20"/>
        </w:rPr>
        <w:t>Scrutinising and monitoring of performance</w:t>
      </w:r>
      <w:r w:rsidRPr="00924AB5">
        <w:rPr>
          <w:rFonts w:ascii="Calibri Light" w:eastAsia="Times New Roman" w:hAnsi="Calibri Light" w:cs="Calibri Light"/>
          <w:sz w:val="20"/>
          <w:szCs w:val="20"/>
        </w:rPr>
        <w:t xml:space="preserve"> against the Business Plans (post go-live/the most useful point</w:t>
      </w:r>
      <w:r w:rsidR="007936E9">
        <w:rPr>
          <w:rFonts w:ascii="Calibri Light" w:eastAsia="Times New Roman" w:hAnsi="Calibri Light" w:cs="Calibri Light"/>
          <w:sz w:val="20"/>
          <w:szCs w:val="20"/>
        </w:rPr>
        <w:t>s</w:t>
      </w:r>
      <w:r w:rsidRPr="00924AB5">
        <w:rPr>
          <w:rFonts w:ascii="Calibri Light" w:eastAsia="Times New Roman" w:hAnsi="Calibri Light" w:cs="Calibri Light"/>
          <w:sz w:val="20"/>
          <w:szCs w:val="20"/>
        </w:rPr>
        <w:t xml:space="preserve"> for ISGs to have input)</w:t>
      </w:r>
    </w:p>
    <w:p w14:paraId="63ABEE11" w14:textId="6551E5D1" w:rsidR="00A64E23" w:rsidRPr="00393FC8" w:rsidRDefault="002F5362" w:rsidP="002D4B23">
      <w:pPr>
        <w:pStyle w:val="ListParagraph"/>
        <w:numPr>
          <w:ilvl w:val="1"/>
          <w:numId w:val="18"/>
        </w:numPr>
        <w:spacing w:before="160" w:after="0" w:line="240" w:lineRule="auto"/>
        <w:rPr>
          <w:rFonts w:ascii="Calibri Light" w:eastAsia="Times New Roman" w:hAnsi="Calibri Light" w:cs="Calibri Light"/>
          <w:sz w:val="20"/>
          <w:szCs w:val="20"/>
        </w:rPr>
      </w:pPr>
      <w:r w:rsidRPr="00072C0B">
        <w:rPr>
          <w:rFonts w:ascii="Calibri Light" w:eastAsia="Times New Roman" w:hAnsi="Calibri Light" w:cs="Calibri Light"/>
          <w:b/>
          <w:sz w:val="20"/>
          <w:szCs w:val="20"/>
        </w:rPr>
        <w:t>Identifying priority areas for scrutiny</w:t>
      </w:r>
      <w:r w:rsidR="000A34C7" w:rsidRPr="00924AB5">
        <w:rPr>
          <w:rFonts w:ascii="Calibri Light" w:eastAsia="Times New Roman" w:hAnsi="Calibri Light" w:cs="Calibri Light"/>
          <w:sz w:val="20"/>
          <w:szCs w:val="20"/>
        </w:rPr>
        <w:t>,</w:t>
      </w:r>
      <w:r w:rsidR="00A64E23" w:rsidRPr="00924AB5">
        <w:rPr>
          <w:rFonts w:ascii="Calibri Light" w:eastAsia="Times New Roman" w:hAnsi="Calibri Light" w:cs="Calibri Light"/>
          <w:sz w:val="20"/>
          <w:szCs w:val="20"/>
        </w:rPr>
        <w:t xml:space="preserve"> </w:t>
      </w:r>
      <w:r w:rsidRPr="000901FC">
        <w:rPr>
          <w:rFonts w:ascii="Calibri Light" w:eastAsia="Times New Roman" w:hAnsi="Calibri Light" w:cs="Calibri Light"/>
          <w:sz w:val="20"/>
          <w:szCs w:val="20"/>
        </w:rPr>
        <w:t>based on</w:t>
      </w:r>
      <w:r w:rsidR="00A64E23" w:rsidRPr="000901FC">
        <w:rPr>
          <w:rFonts w:ascii="Calibri Light" w:eastAsia="Times New Roman" w:hAnsi="Calibri Light" w:cs="Calibri Light"/>
          <w:sz w:val="20"/>
          <w:szCs w:val="20"/>
        </w:rPr>
        <w:t xml:space="preserve"> </w:t>
      </w:r>
      <w:r w:rsidR="000A34C7" w:rsidRPr="00072C0B">
        <w:rPr>
          <w:rFonts w:ascii="Calibri Light" w:eastAsia="Times New Roman" w:hAnsi="Calibri Light" w:cs="Calibri Light"/>
          <w:sz w:val="20"/>
          <w:szCs w:val="20"/>
        </w:rPr>
        <w:t xml:space="preserve">the </w:t>
      </w:r>
      <w:r w:rsidRPr="00072C0B">
        <w:rPr>
          <w:rFonts w:ascii="Calibri Light" w:eastAsia="Times New Roman" w:hAnsi="Calibri Light" w:cs="Calibri Light"/>
          <w:sz w:val="20"/>
          <w:szCs w:val="20"/>
        </w:rPr>
        <w:t xml:space="preserve">degree of </w:t>
      </w:r>
      <w:r w:rsidR="00A64E23" w:rsidRPr="00072C0B">
        <w:rPr>
          <w:rFonts w:ascii="Calibri Light" w:eastAsia="Times New Roman" w:hAnsi="Calibri Light" w:cs="Calibri Light"/>
          <w:sz w:val="20"/>
          <w:szCs w:val="20"/>
        </w:rPr>
        <w:t>change</w:t>
      </w:r>
      <w:r w:rsidRPr="00072C0B">
        <w:rPr>
          <w:rFonts w:ascii="Calibri Light" w:eastAsia="Times New Roman" w:hAnsi="Calibri Light" w:cs="Calibri Light"/>
          <w:sz w:val="20"/>
          <w:szCs w:val="20"/>
        </w:rPr>
        <w:t xml:space="preserve"> required and potential impact on customers and stakeholders</w:t>
      </w:r>
    </w:p>
    <w:p w14:paraId="55D8F0D8" w14:textId="58ACE6A1" w:rsidR="00A64E23" w:rsidRPr="00072C0B" w:rsidRDefault="002F5362" w:rsidP="002D4B23">
      <w:pPr>
        <w:pStyle w:val="ListParagraph"/>
        <w:numPr>
          <w:ilvl w:val="1"/>
          <w:numId w:val="18"/>
        </w:numPr>
        <w:spacing w:before="160" w:after="0" w:line="240" w:lineRule="auto"/>
        <w:rPr>
          <w:rFonts w:ascii="Calibri Light" w:eastAsia="Times New Roman" w:hAnsi="Calibri Light" w:cs="Calibri Light"/>
          <w:sz w:val="20"/>
          <w:szCs w:val="20"/>
        </w:rPr>
      </w:pPr>
      <w:r w:rsidRPr="00072C0B">
        <w:rPr>
          <w:rFonts w:ascii="Calibri Light" w:eastAsia="Times New Roman" w:hAnsi="Calibri Light" w:cs="Calibri Light"/>
          <w:b/>
          <w:sz w:val="20"/>
          <w:szCs w:val="20"/>
        </w:rPr>
        <w:t>Maintaining l</w:t>
      </w:r>
      <w:r w:rsidR="00A64E23" w:rsidRPr="00072C0B">
        <w:rPr>
          <w:rFonts w:ascii="Calibri Light" w:eastAsia="Times New Roman" w:hAnsi="Calibri Light" w:cs="Calibri Light"/>
          <w:b/>
          <w:sz w:val="20"/>
          <w:szCs w:val="20"/>
        </w:rPr>
        <w:t xml:space="preserve">ine of sight </w:t>
      </w:r>
      <w:r w:rsidRPr="00072C0B">
        <w:rPr>
          <w:rFonts w:ascii="Calibri Light" w:eastAsia="Times New Roman" w:hAnsi="Calibri Light" w:cs="Calibri Light"/>
          <w:b/>
          <w:sz w:val="20"/>
          <w:szCs w:val="20"/>
        </w:rPr>
        <w:t xml:space="preserve">across </w:t>
      </w:r>
      <w:r w:rsidR="000A34C7" w:rsidRPr="00072C0B">
        <w:rPr>
          <w:rFonts w:ascii="Calibri Light" w:eastAsia="Times New Roman" w:hAnsi="Calibri Light" w:cs="Calibri Light"/>
          <w:b/>
          <w:sz w:val="20"/>
          <w:szCs w:val="20"/>
        </w:rPr>
        <w:t>key areas</w:t>
      </w:r>
      <w:r w:rsidRPr="00924AB5">
        <w:rPr>
          <w:rFonts w:ascii="Calibri Light" w:eastAsia="Times New Roman" w:hAnsi="Calibri Light" w:cs="Calibri Light"/>
          <w:sz w:val="20"/>
          <w:szCs w:val="20"/>
        </w:rPr>
        <w:t xml:space="preserve">, </w:t>
      </w:r>
      <w:r w:rsidR="00A64E23" w:rsidRPr="000901FC">
        <w:rPr>
          <w:rFonts w:ascii="Calibri Light" w:eastAsia="Times New Roman" w:hAnsi="Calibri Light" w:cs="Calibri Light"/>
          <w:sz w:val="20"/>
          <w:szCs w:val="20"/>
        </w:rPr>
        <w:t>to understand the strategic context</w:t>
      </w:r>
      <w:r w:rsidRPr="000901FC">
        <w:rPr>
          <w:rFonts w:ascii="Calibri Light" w:eastAsia="Times New Roman" w:hAnsi="Calibri Light" w:cs="Calibri Light"/>
          <w:sz w:val="20"/>
          <w:szCs w:val="20"/>
        </w:rPr>
        <w:t xml:space="preserve"> for each priority</w:t>
      </w:r>
    </w:p>
    <w:p w14:paraId="7E9C732B" w14:textId="5A8F3469" w:rsidR="00A64E23" w:rsidRPr="00072C0B" w:rsidRDefault="002F5362" w:rsidP="002D4B23">
      <w:pPr>
        <w:pStyle w:val="ListParagraph"/>
        <w:numPr>
          <w:ilvl w:val="1"/>
          <w:numId w:val="18"/>
        </w:numPr>
        <w:spacing w:before="160" w:after="0" w:line="240" w:lineRule="auto"/>
        <w:rPr>
          <w:rFonts w:ascii="Calibri Light" w:eastAsia="Times New Roman" w:hAnsi="Calibri Light" w:cs="Calibri Light"/>
          <w:sz w:val="20"/>
          <w:szCs w:val="20"/>
        </w:rPr>
      </w:pPr>
      <w:r w:rsidRPr="00072C0B">
        <w:rPr>
          <w:rFonts w:ascii="Calibri Light" w:eastAsia="Times New Roman" w:hAnsi="Calibri Light" w:cs="Calibri Light"/>
          <w:b/>
          <w:sz w:val="20"/>
          <w:szCs w:val="20"/>
        </w:rPr>
        <w:t xml:space="preserve">Encouraging </w:t>
      </w:r>
      <w:r w:rsidR="00A64E23" w:rsidRPr="00072C0B">
        <w:rPr>
          <w:rFonts w:ascii="Calibri Light" w:eastAsia="Times New Roman" w:hAnsi="Calibri Light" w:cs="Calibri Light"/>
          <w:b/>
          <w:sz w:val="20"/>
          <w:szCs w:val="20"/>
        </w:rPr>
        <w:t xml:space="preserve">closer </w:t>
      </w:r>
      <w:r w:rsidRPr="00072C0B">
        <w:rPr>
          <w:rFonts w:ascii="Calibri Light" w:eastAsia="Times New Roman" w:hAnsi="Calibri Light" w:cs="Calibri Light"/>
          <w:b/>
          <w:sz w:val="20"/>
          <w:szCs w:val="20"/>
        </w:rPr>
        <w:t xml:space="preserve">internal </w:t>
      </w:r>
      <w:r w:rsidR="00A64E23" w:rsidRPr="00072C0B">
        <w:rPr>
          <w:rFonts w:ascii="Calibri Light" w:eastAsia="Times New Roman" w:hAnsi="Calibri Light" w:cs="Calibri Light"/>
          <w:b/>
          <w:sz w:val="20"/>
          <w:szCs w:val="20"/>
        </w:rPr>
        <w:t>engagement</w:t>
      </w:r>
      <w:r w:rsidR="00A64E23" w:rsidRPr="00924AB5">
        <w:rPr>
          <w:rFonts w:ascii="Calibri Light" w:eastAsia="Times New Roman" w:hAnsi="Calibri Light" w:cs="Calibri Light"/>
          <w:sz w:val="20"/>
          <w:szCs w:val="20"/>
        </w:rPr>
        <w:t xml:space="preserve"> (e.g. through buddy groups </w:t>
      </w:r>
      <w:r w:rsidRPr="000901FC">
        <w:rPr>
          <w:rFonts w:ascii="Calibri Light" w:eastAsia="Times New Roman" w:hAnsi="Calibri Light" w:cs="Calibri Light"/>
          <w:sz w:val="20"/>
          <w:szCs w:val="20"/>
        </w:rPr>
        <w:t>with</w:t>
      </w:r>
      <w:r w:rsidR="00A64E23" w:rsidRPr="000901FC">
        <w:rPr>
          <w:rFonts w:ascii="Calibri Light" w:eastAsia="Times New Roman" w:hAnsi="Calibri Light" w:cs="Calibri Light"/>
          <w:sz w:val="20"/>
          <w:szCs w:val="20"/>
        </w:rPr>
        <w:t xml:space="preserve">in each </w:t>
      </w:r>
      <w:r w:rsidR="00A64E23" w:rsidRPr="00072C0B">
        <w:rPr>
          <w:rFonts w:ascii="Calibri Light" w:eastAsia="Times New Roman" w:hAnsi="Calibri Light" w:cs="Calibri Light"/>
          <w:sz w:val="20"/>
          <w:szCs w:val="20"/>
        </w:rPr>
        <w:t>company)</w:t>
      </w:r>
    </w:p>
    <w:p w14:paraId="52FB3D9E" w14:textId="2EA5406C" w:rsidR="00A64E23" w:rsidRPr="000901FC" w:rsidRDefault="00924AB5" w:rsidP="002D4B23">
      <w:pPr>
        <w:pStyle w:val="ListParagraph"/>
        <w:numPr>
          <w:ilvl w:val="1"/>
          <w:numId w:val="18"/>
        </w:numPr>
        <w:spacing w:before="160" w:after="0" w:line="240" w:lineRule="auto"/>
        <w:rPr>
          <w:rFonts w:ascii="Calibri Light" w:eastAsia="Times New Roman" w:hAnsi="Calibri Light" w:cs="Calibri Light"/>
          <w:sz w:val="20"/>
          <w:szCs w:val="20"/>
        </w:rPr>
      </w:pPr>
      <w:r w:rsidRPr="00072C0B">
        <w:rPr>
          <w:rFonts w:ascii="Calibri Light" w:eastAsia="Times New Roman" w:hAnsi="Calibri Light" w:cs="Calibri Light"/>
          <w:b/>
          <w:sz w:val="20"/>
          <w:szCs w:val="20"/>
        </w:rPr>
        <w:t>T</w:t>
      </w:r>
      <w:r w:rsidR="00A64E23" w:rsidRPr="00072C0B">
        <w:rPr>
          <w:rFonts w:ascii="Calibri Light" w:eastAsia="Times New Roman" w:hAnsi="Calibri Light" w:cs="Calibri Light"/>
          <w:b/>
          <w:sz w:val="20"/>
          <w:szCs w:val="20"/>
        </w:rPr>
        <w:t>he role of critical friend</w:t>
      </w:r>
      <w:r w:rsidR="00A64E23" w:rsidRPr="00924AB5">
        <w:rPr>
          <w:rFonts w:ascii="Calibri Light" w:eastAsia="Times New Roman" w:hAnsi="Calibri Light" w:cs="Calibri Light"/>
          <w:sz w:val="20"/>
          <w:szCs w:val="20"/>
        </w:rPr>
        <w:t xml:space="preserve"> </w:t>
      </w:r>
      <w:r w:rsidRPr="00072C0B">
        <w:rPr>
          <w:rFonts w:ascii="Calibri Light" w:eastAsia="Times New Roman" w:hAnsi="Calibri Light" w:cs="Calibri Light"/>
          <w:sz w:val="20"/>
          <w:szCs w:val="20"/>
        </w:rPr>
        <w:t xml:space="preserve">– understanding that this </w:t>
      </w:r>
      <w:r w:rsidR="00A64E23" w:rsidRPr="00924AB5">
        <w:rPr>
          <w:rFonts w:ascii="Calibri Light" w:eastAsia="Times New Roman" w:hAnsi="Calibri Light" w:cs="Calibri Light"/>
          <w:sz w:val="20"/>
          <w:szCs w:val="20"/>
        </w:rPr>
        <w:t xml:space="preserve">is a difficult </w:t>
      </w:r>
      <w:r w:rsidRPr="00072C0B">
        <w:rPr>
          <w:rFonts w:ascii="Calibri Light" w:eastAsia="Times New Roman" w:hAnsi="Calibri Light" w:cs="Calibri Light"/>
          <w:sz w:val="20"/>
          <w:szCs w:val="20"/>
        </w:rPr>
        <w:t>to achieve</w:t>
      </w:r>
      <w:r w:rsidR="007936E9">
        <w:rPr>
          <w:rFonts w:ascii="Calibri Light" w:eastAsia="Times New Roman" w:hAnsi="Calibri Light" w:cs="Calibri Light"/>
          <w:sz w:val="20"/>
          <w:szCs w:val="20"/>
        </w:rPr>
        <w:t>.</w:t>
      </w:r>
    </w:p>
    <w:p w14:paraId="0C124A6B" w14:textId="77777777" w:rsidR="00A64E23" w:rsidRPr="002D4B23" w:rsidRDefault="00A64E23" w:rsidP="002D4B23">
      <w:pPr>
        <w:spacing w:before="160" w:line="240" w:lineRule="auto"/>
        <w:ind w:left="567"/>
        <w:rPr>
          <w:rFonts w:ascii="Calibri Light" w:eastAsia="Times New Roman" w:hAnsi="Calibri Light" w:cs="Calibri Light"/>
          <w:sz w:val="20"/>
          <w:szCs w:val="20"/>
        </w:rPr>
      </w:pPr>
      <w:r w:rsidRPr="002D4B23">
        <w:rPr>
          <w:rFonts w:ascii="Calibri Light" w:eastAsia="Times New Roman" w:hAnsi="Calibri Light" w:cs="Calibri Light"/>
          <w:sz w:val="20"/>
          <w:szCs w:val="20"/>
        </w:rPr>
        <w:t xml:space="preserve">It would be beneficial to have clarity over </w:t>
      </w:r>
      <w:r w:rsidRPr="000A34C7">
        <w:rPr>
          <w:rFonts w:ascii="Calibri Light" w:eastAsia="Times New Roman" w:hAnsi="Calibri Light" w:cs="Calibri Light"/>
          <w:b/>
          <w:bCs/>
          <w:sz w:val="20"/>
          <w:szCs w:val="20"/>
        </w:rPr>
        <w:t>what Ofgem want the ISGs to do</w:t>
      </w:r>
      <w:r w:rsidRPr="002D4B23">
        <w:rPr>
          <w:rFonts w:ascii="Calibri Light" w:eastAsia="Times New Roman" w:hAnsi="Calibri Light" w:cs="Calibri Light"/>
          <w:sz w:val="20"/>
          <w:szCs w:val="20"/>
        </w:rPr>
        <w:t xml:space="preserve">, as this can be different from what the companies want the groups to do. We believe that the ISGs have an important role to play and will be able to work more in-depth with the companies than Ofgem, who are there to regulate the companies. </w:t>
      </w:r>
    </w:p>
    <w:p w14:paraId="4FF49D66" w14:textId="6B544885" w:rsidR="002F5362" w:rsidRPr="002D4B23" w:rsidRDefault="00A64E23" w:rsidP="002D4B23">
      <w:pPr>
        <w:spacing w:before="160" w:line="240" w:lineRule="auto"/>
        <w:ind w:left="567"/>
        <w:rPr>
          <w:rFonts w:ascii="Calibri Light" w:eastAsia="Times New Roman" w:hAnsi="Calibri Light" w:cs="Calibri Light"/>
          <w:sz w:val="20"/>
          <w:szCs w:val="20"/>
        </w:rPr>
      </w:pPr>
      <w:r w:rsidRPr="002D4B23">
        <w:rPr>
          <w:rFonts w:ascii="Calibri Light" w:eastAsia="Times New Roman" w:hAnsi="Calibri Light" w:cs="Calibri Light"/>
          <w:sz w:val="20"/>
          <w:szCs w:val="20"/>
        </w:rPr>
        <w:t xml:space="preserve">We believe that our role in relation to </w:t>
      </w:r>
      <w:r w:rsidRPr="000A34C7">
        <w:rPr>
          <w:rFonts w:ascii="Calibri Light" w:eastAsia="Times New Roman" w:hAnsi="Calibri Light" w:cs="Calibri Light"/>
          <w:b/>
          <w:bCs/>
          <w:sz w:val="20"/>
          <w:szCs w:val="20"/>
        </w:rPr>
        <w:t>stakeholder engagement</w:t>
      </w:r>
      <w:r w:rsidRPr="002D4B23">
        <w:rPr>
          <w:rFonts w:ascii="Calibri Light" w:eastAsia="Times New Roman" w:hAnsi="Calibri Light" w:cs="Calibri Light"/>
          <w:sz w:val="20"/>
          <w:szCs w:val="20"/>
        </w:rPr>
        <w:t xml:space="preserve"> is correct and it is useful to be able to point</w:t>
      </w:r>
      <w:r w:rsidR="002F5362" w:rsidRPr="002D4B23">
        <w:rPr>
          <w:rFonts w:ascii="Calibri Light" w:eastAsia="Times New Roman" w:hAnsi="Calibri Light" w:cs="Calibri Light"/>
          <w:sz w:val="20"/>
          <w:szCs w:val="20"/>
        </w:rPr>
        <w:t xml:space="preserve"> to</w:t>
      </w:r>
      <w:r w:rsidRPr="002D4B23">
        <w:rPr>
          <w:rFonts w:ascii="Calibri Light" w:eastAsia="Times New Roman" w:hAnsi="Calibri Light" w:cs="Calibri Light"/>
          <w:sz w:val="20"/>
          <w:szCs w:val="20"/>
        </w:rPr>
        <w:t xml:space="preserve"> the clear expectation from Ofgem to demonstrate the </w:t>
      </w:r>
      <w:r w:rsidR="00DA78FF" w:rsidRPr="002D4B23">
        <w:rPr>
          <w:rFonts w:ascii="Calibri Light" w:eastAsia="Times New Roman" w:hAnsi="Calibri Light" w:cs="Calibri Light"/>
          <w:sz w:val="20"/>
          <w:szCs w:val="20"/>
        </w:rPr>
        <w:t xml:space="preserve">required </w:t>
      </w:r>
      <w:r w:rsidRPr="002D4B23">
        <w:rPr>
          <w:rFonts w:ascii="Calibri Light" w:eastAsia="Times New Roman" w:hAnsi="Calibri Light" w:cs="Calibri Light"/>
          <w:sz w:val="20"/>
          <w:szCs w:val="20"/>
        </w:rPr>
        <w:t xml:space="preserve">ISG’s responsibilities. </w:t>
      </w:r>
    </w:p>
    <w:p w14:paraId="3472B471" w14:textId="2D47B0C1" w:rsidR="009C3375" w:rsidRPr="009C3375" w:rsidRDefault="00DA78FF" w:rsidP="009C3375">
      <w:pPr>
        <w:spacing w:before="160" w:line="240" w:lineRule="auto"/>
        <w:ind w:left="567"/>
        <w:rPr>
          <w:rFonts w:ascii="Calibri Light" w:eastAsia="Times New Roman" w:hAnsi="Calibri Light" w:cs="Calibri Light"/>
          <w:sz w:val="20"/>
          <w:szCs w:val="20"/>
        </w:rPr>
      </w:pPr>
      <w:r w:rsidRPr="002D4B23">
        <w:rPr>
          <w:rFonts w:ascii="Calibri Light" w:eastAsia="Times New Roman" w:hAnsi="Calibri Light" w:cs="Calibri Light"/>
          <w:sz w:val="20"/>
          <w:szCs w:val="20"/>
        </w:rPr>
        <w:t>However, Ofgem also</w:t>
      </w:r>
      <w:r w:rsidR="00A64E23" w:rsidRPr="002D4B23">
        <w:rPr>
          <w:rFonts w:ascii="Calibri Light" w:eastAsia="Times New Roman" w:hAnsi="Calibri Light" w:cs="Calibri Light"/>
          <w:sz w:val="20"/>
          <w:szCs w:val="20"/>
        </w:rPr>
        <w:t xml:space="preserve"> advised in the guidance that they expect the ISGs to look at </w:t>
      </w:r>
      <w:r w:rsidR="00A64E23" w:rsidRPr="002D4B23">
        <w:rPr>
          <w:rFonts w:ascii="Calibri Light" w:eastAsia="Times New Roman" w:hAnsi="Calibri Light" w:cs="Calibri Light"/>
          <w:b/>
          <w:bCs/>
          <w:sz w:val="20"/>
          <w:szCs w:val="20"/>
        </w:rPr>
        <w:t xml:space="preserve">culture </w:t>
      </w:r>
      <w:r w:rsidR="00A64E23" w:rsidRPr="002D4B23">
        <w:rPr>
          <w:rFonts w:ascii="Calibri Light" w:eastAsia="Times New Roman" w:hAnsi="Calibri Light" w:cs="Calibri Light"/>
          <w:sz w:val="20"/>
          <w:szCs w:val="20"/>
        </w:rPr>
        <w:t>but did not explain what was specifically expected. If guidance on culture could be included, similar to that for stakeholder engagement</w:t>
      </w:r>
      <w:r w:rsidR="000A34C7">
        <w:rPr>
          <w:rStyle w:val="FootnoteReference"/>
          <w:rFonts w:ascii="Calibri Light" w:eastAsia="Times New Roman" w:hAnsi="Calibri Light" w:cs="Calibri Light"/>
          <w:sz w:val="20"/>
          <w:szCs w:val="20"/>
        </w:rPr>
        <w:footnoteReference w:id="1"/>
      </w:r>
      <w:r w:rsidR="00A64E23" w:rsidRPr="002D4B23">
        <w:rPr>
          <w:rFonts w:ascii="Calibri Light" w:eastAsia="Times New Roman" w:hAnsi="Calibri Light" w:cs="Calibri Light"/>
          <w:sz w:val="20"/>
          <w:szCs w:val="20"/>
        </w:rPr>
        <w:t xml:space="preserve">, this would help define what the expectation of the ISGs is from Ofgem. Again it would also be helpful to be able to point to this when agreeing with the companies how the ISGs will work with them and what the </w:t>
      </w:r>
      <w:r w:rsidRPr="002D4B23">
        <w:rPr>
          <w:rFonts w:ascii="Calibri Light" w:eastAsia="Times New Roman" w:hAnsi="Calibri Light" w:cs="Calibri Light"/>
          <w:sz w:val="20"/>
          <w:szCs w:val="20"/>
        </w:rPr>
        <w:t>priority areas</w:t>
      </w:r>
      <w:r w:rsidR="00A64E23" w:rsidRPr="002D4B23">
        <w:rPr>
          <w:rFonts w:ascii="Calibri Light" w:eastAsia="Times New Roman" w:hAnsi="Calibri Light" w:cs="Calibri Light"/>
          <w:sz w:val="20"/>
          <w:szCs w:val="20"/>
        </w:rPr>
        <w:t xml:space="preserve"> will be</w:t>
      </w:r>
      <w:r w:rsidR="009C3375">
        <w:rPr>
          <w:rFonts w:ascii="Calibri Light" w:eastAsia="Times New Roman" w:hAnsi="Calibri Light" w:cs="Calibri Light"/>
          <w:sz w:val="20"/>
          <w:szCs w:val="20"/>
        </w:rPr>
        <w:t xml:space="preserve"> for ISGs</w:t>
      </w:r>
      <w:r w:rsidR="00A64E23" w:rsidRPr="002D4B23">
        <w:rPr>
          <w:rFonts w:ascii="Calibri Light" w:eastAsia="Times New Roman" w:hAnsi="Calibri Light" w:cs="Calibri Light"/>
          <w:sz w:val="20"/>
          <w:szCs w:val="20"/>
        </w:rPr>
        <w:t>.</w:t>
      </w:r>
      <w:r w:rsidR="009C3375">
        <w:rPr>
          <w:rFonts w:ascii="Calibri Light" w:eastAsia="Times New Roman" w:hAnsi="Calibri Light" w:cs="Calibri Light"/>
          <w:sz w:val="20"/>
          <w:szCs w:val="20"/>
        </w:rPr>
        <w:t xml:space="preserve"> </w:t>
      </w:r>
    </w:p>
    <w:p w14:paraId="1BBC51A5" w14:textId="356472BF" w:rsidR="00A64E23" w:rsidRPr="002D4B23" w:rsidRDefault="00DA78FF" w:rsidP="002D4B23">
      <w:pPr>
        <w:spacing w:before="160" w:line="240" w:lineRule="auto"/>
        <w:ind w:left="567"/>
        <w:rPr>
          <w:rFonts w:ascii="Calibri Light" w:eastAsia="Times New Roman" w:hAnsi="Calibri Light" w:cs="Calibri Light"/>
          <w:sz w:val="20"/>
          <w:szCs w:val="20"/>
        </w:rPr>
      </w:pPr>
      <w:r w:rsidRPr="002D4B23">
        <w:rPr>
          <w:rFonts w:ascii="Calibri Light" w:eastAsia="Times New Roman" w:hAnsi="Calibri Light" w:cs="Calibri Light"/>
          <w:sz w:val="20"/>
          <w:szCs w:val="20"/>
        </w:rPr>
        <w:t>Th</w:t>
      </w:r>
      <w:r w:rsidR="00A64E23" w:rsidRPr="002D4B23">
        <w:rPr>
          <w:rFonts w:ascii="Calibri Light" w:eastAsia="Times New Roman" w:hAnsi="Calibri Light" w:cs="Calibri Light"/>
          <w:sz w:val="20"/>
          <w:szCs w:val="20"/>
        </w:rPr>
        <w:t xml:space="preserve">e </w:t>
      </w:r>
      <w:r w:rsidR="00A64E23" w:rsidRPr="004A15D6">
        <w:rPr>
          <w:rFonts w:ascii="Calibri Light" w:eastAsia="Times New Roman" w:hAnsi="Calibri Light" w:cs="Calibri Light"/>
          <w:b/>
          <w:bCs/>
          <w:sz w:val="20"/>
          <w:szCs w:val="20"/>
        </w:rPr>
        <w:t>ISG Chairs</w:t>
      </w:r>
      <w:r w:rsidR="00A64E23" w:rsidRPr="00072C0B">
        <w:rPr>
          <w:rFonts w:ascii="Calibri Light" w:eastAsia="Times New Roman" w:hAnsi="Calibri Light" w:cs="Calibri Light"/>
          <w:b/>
          <w:sz w:val="20"/>
          <w:szCs w:val="20"/>
        </w:rPr>
        <w:t xml:space="preserve"> meeting</w:t>
      </w:r>
      <w:r w:rsidRPr="00072C0B">
        <w:rPr>
          <w:rFonts w:ascii="Calibri Light" w:eastAsia="Times New Roman" w:hAnsi="Calibri Light" w:cs="Calibri Light"/>
          <w:b/>
          <w:sz w:val="20"/>
          <w:szCs w:val="20"/>
        </w:rPr>
        <w:t>s</w:t>
      </w:r>
      <w:r w:rsidR="00A64E23" w:rsidRPr="00072C0B">
        <w:rPr>
          <w:rFonts w:ascii="Calibri Light" w:eastAsia="Times New Roman" w:hAnsi="Calibri Light" w:cs="Calibri Light"/>
          <w:b/>
          <w:sz w:val="20"/>
          <w:szCs w:val="20"/>
        </w:rPr>
        <w:t xml:space="preserve"> have been </w:t>
      </w:r>
      <w:r w:rsidRPr="00072C0B">
        <w:rPr>
          <w:rFonts w:ascii="Calibri Light" w:eastAsia="Times New Roman" w:hAnsi="Calibri Light" w:cs="Calibri Light"/>
          <w:b/>
          <w:sz w:val="20"/>
          <w:szCs w:val="20"/>
        </w:rPr>
        <w:t>productive</w:t>
      </w:r>
      <w:r w:rsidRPr="002D4B23">
        <w:rPr>
          <w:rFonts w:ascii="Calibri Light" w:eastAsia="Times New Roman" w:hAnsi="Calibri Light" w:cs="Calibri Light"/>
          <w:sz w:val="20"/>
          <w:szCs w:val="20"/>
        </w:rPr>
        <w:t>,</w:t>
      </w:r>
      <w:r w:rsidR="00A64E23" w:rsidRPr="002D4B23">
        <w:rPr>
          <w:rFonts w:ascii="Calibri Light" w:eastAsia="Times New Roman" w:hAnsi="Calibri Light" w:cs="Calibri Light"/>
          <w:sz w:val="20"/>
          <w:szCs w:val="20"/>
        </w:rPr>
        <w:t xml:space="preserve"> and </w:t>
      </w:r>
      <w:r w:rsidRPr="002D4B23">
        <w:rPr>
          <w:rFonts w:ascii="Calibri Light" w:eastAsia="Times New Roman" w:hAnsi="Calibri Light" w:cs="Calibri Light"/>
          <w:sz w:val="20"/>
          <w:szCs w:val="20"/>
        </w:rPr>
        <w:t xml:space="preserve">we </w:t>
      </w:r>
      <w:r w:rsidR="00A64E23" w:rsidRPr="002D4B23">
        <w:rPr>
          <w:rFonts w:ascii="Calibri Light" w:eastAsia="Times New Roman" w:hAnsi="Calibri Light" w:cs="Calibri Light"/>
          <w:sz w:val="20"/>
          <w:szCs w:val="20"/>
        </w:rPr>
        <w:t xml:space="preserve">would like to see these retained. However, when the ISG Chairs </w:t>
      </w:r>
      <w:r w:rsidR="00A64E23" w:rsidRPr="002D4B23">
        <w:rPr>
          <w:rFonts w:ascii="Calibri Light" w:eastAsia="Times New Roman" w:hAnsi="Calibri Light" w:cs="Calibri Light"/>
          <w:b/>
          <w:bCs/>
          <w:sz w:val="20"/>
          <w:szCs w:val="20"/>
        </w:rPr>
        <w:t>meet with Ofgem</w:t>
      </w:r>
      <w:r w:rsidR="00A64E23" w:rsidRPr="002D4B23">
        <w:rPr>
          <w:rFonts w:ascii="Calibri Light" w:eastAsia="Times New Roman" w:hAnsi="Calibri Light" w:cs="Calibri Light"/>
          <w:sz w:val="20"/>
          <w:szCs w:val="20"/>
        </w:rPr>
        <w:t xml:space="preserve"> it would be good to have agreed Terms of Reference for these meetings and determine what the purpose for the meetings will be (recognising that this may change, depending on the stage of the Business Plan process and be different for each of the network sectors, relative to where they are in the process). </w:t>
      </w:r>
    </w:p>
    <w:p w14:paraId="469FB77E" w14:textId="3D3C52DA" w:rsidR="00A64E23" w:rsidRPr="002D4B23" w:rsidRDefault="00A64E23" w:rsidP="002D4B23">
      <w:pPr>
        <w:spacing w:before="160" w:line="240" w:lineRule="auto"/>
        <w:ind w:left="567"/>
        <w:rPr>
          <w:rFonts w:ascii="Calibri Light" w:eastAsia="Times New Roman" w:hAnsi="Calibri Light" w:cs="Calibri Light"/>
          <w:sz w:val="20"/>
          <w:szCs w:val="20"/>
        </w:rPr>
      </w:pPr>
      <w:r w:rsidRPr="002D4B23">
        <w:rPr>
          <w:rFonts w:ascii="Calibri Light" w:eastAsia="Times New Roman" w:hAnsi="Calibri Light" w:cs="Calibri Light"/>
          <w:sz w:val="20"/>
          <w:szCs w:val="20"/>
        </w:rPr>
        <w:t xml:space="preserve">We would like to highlight to Ofgem that the ISGs go through a </w:t>
      </w:r>
      <w:r w:rsidRPr="002D4B23">
        <w:rPr>
          <w:rFonts w:ascii="Calibri Light" w:eastAsia="Times New Roman" w:hAnsi="Calibri Light" w:cs="Calibri Light"/>
          <w:b/>
          <w:bCs/>
          <w:sz w:val="20"/>
          <w:szCs w:val="20"/>
        </w:rPr>
        <w:t>journey of maturity</w:t>
      </w:r>
      <w:r w:rsidRPr="002D4B23">
        <w:rPr>
          <w:rFonts w:ascii="Calibri Light" w:eastAsia="Times New Roman" w:hAnsi="Calibri Light" w:cs="Calibri Light"/>
          <w:sz w:val="20"/>
          <w:szCs w:val="20"/>
        </w:rPr>
        <w:t xml:space="preserve"> and unfortunately for RIIO3 the Guidance was issued quite late, meaning that all ISGs have likely struggled with maturity and this will have impacted on the groups</w:t>
      </w:r>
      <w:r w:rsidR="00DA78FF" w:rsidRPr="002D4B23">
        <w:rPr>
          <w:rFonts w:ascii="Calibri Light" w:eastAsia="Times New Roman" w:hAnsi="Calibri Light" w:cs="Calibri Light"/>
          <w:sz w:val="20"/>
          <w:szCs w:val="20"/>
        </w:rPr>
        <w:t>’</w:t>
      </w:r>
      <w:r w:rsidRPr="002D4B23">
        <w:rPr>
          <w:rFonts w:ascii="Calibri Light" w:eastAsia="Times New Roman" w:hAnsi="Calibri Light" w:cs="Calibri Light"/>
          <w:sz w:val="20"/>
          <w:szCs w:val="20"/>
        </w:rPr>
        <w:t xml:space="preserve"> opportunity to reach their potential. </w:t>
      </w:r>
      <w:r w:rsidR="00DA78FF" w:rsidRPr="002D4B23">
        <w:rPr>
          <w:rFonts w:ascii="Calibri Light" w:eastAsia="Times New Roman" w:hAnsi="Calibri Light" w:cs="Calibri Light"/>
          <w:sz w:val="20"/>
          <w:szCs w:val="20"/>
        </w:rPr>
        <w:t>We therefore believe that there is plenty of ‘headroom’ to build the ability of ISGs to positively impact company and sector performance in the coming years.</w:t>
      </w:r>
    </w:p>
    <w:p w14:paraId="14675A42" w14:textId="1C42FA1C" w:rsidR="00A64E23" w:rsidRPr="002D4B23" w:rsidRDefault="00A64E23" w:rsidP="002D4B23">
      <w:pPr>
        <w:spacing w:before="160" w:line="240" w:lineRule="auto"/>
        <w:ind w:left="567"/>
        <w:rPr>
          <w:rFonts w:ascii="Calibri Light" w:eastAsia="Times New Roman" w:hAnsi="Calibri Light" w:cs="Calibri Light"/>
          <w:sz w:val="20"/>
          <w:szCs w:val="20"/>
        </w:rPr>
      </w:pPr>
      <w:r w:rsidRPr="002D4B23">
        <w:rPr>
          <w:rFonts w:ascii="Calibri Light" w:eastAsia="Times New Roman" w:hAnsi="Calibri Light" w:cs="Calibri Light"/>
          <w:sz w:val="20"/>
          <w:szCs w:val="20"/>
        </w:rPr>
        <w:t xml:space="preserve">In respect of the </w:t>
      </w:r>
      <w:r w:rsidRPr="002D4B23">
        <w:rPr>
          <w:rFonts w:ascii="Calibri Light" w:eastAsia="Times New Roman" w:hAnsi="Calibri Light" w:cs="Calibri Light"/>
          <w:b/>
          <w:bCs/>
          <w:sz w:val="20"/>
          <w:szCs w:val="20"/>
        </w:rPr>
        <w:t>evolution of the groups</w:t>
      </w:r>
      <w:r w:rsidRPr="002D4B23">
        <w:rPr>
          <w:rFonts w:ascii="Calibri Light" w:eastAsia="Times New Roman" w:hAnsi="Calibri Light" w:cs="Calibri Light"/>
          <w:sz w:val="20"/>
          <w:szCs w:val="20"/>
        </w:rPr>
        <w:t>, we believe that it is important to periodically refresh the skills in the groups, whilst recognising that there is benefit in hav</w:t>
      </w:r>
      <w:r w:rsidR="00DA78FF" w:rsidRPr="002D4B23">
        <w:rPr>
          <w:rFonts w:ascii="Calibri Light" w:eastAsia="Times New Roman" w:hAnsi="Calibri Light" w:cs="Calibri Light"/>
          <w:sz w:val="20"/>
          <w:szCs w:val="20"/>
        </w:rPr>
        <w:t>ing</w:t>
      </w:r>
      <w:r w:rsidRPr="002D4B23">
        <w:rPr>
          <w:rFonts w:ascii="Calibri Light" w:eastAsia="Times New Roman" w:hAnsi="Calibri Light" w:cs="Calibri Light"/>
          <w:sz w:val="20"/>
          <w:szCs w:val="20"/>
        </w:rPr>
        <w:t xml:space="preserve"> continuity of the people involved</w:t>
      </w:r>
      <w:r w:rsidR="00DA78FF" w:rsidRPr="002D4B23">
        <w:rPr>
          <w:rFonts w:ascii="Calibri Light" w:eastAsia="Times New Roman" w:hAnsi="Calibri Light" w:cs="Calibri Light"/>
          <w:sz w:val="20"/>
          <w:szCs w:val="20"/>
        </w:rPr>
        <w:t>, in particular for building relationships that can genuinely shape change through constructive challenge</w:t>
      </w:r>
      <w:r w:rsidRPr="002D4B23">
        <w:rPr>
          <w:rFonts w:ascii="Calibri Light" w:eastAsia="Times New Roman" w:hAnsi="Calibri Light" w:cs="Calibri Light"/>
          <w:sz w:val="20"/>
          <w:szCs w:val="20"/>
        </w:rPr>
        <w:t xml:space="preserve">. We </w:t>
      </w:r>
      <w:r w:rsidR="00DA78FF" w:rsidRPr="002D4B23">
        <w:rPr>
          <w:rFonts w:ascii="Calibri Light" w:eastAsia="Times New Roman" w:hAnsi="Calibri Light" w:cs="Calibri Light"/>
          <w:sz w:val="20"/>
          <w:szCs w:val="20"/>
        </w:rPr>
        <w:t>suggest consideration of ‘</w:t>
      </w:r>
      <w:r w:rsidRPr="002D4B23">
        <w:rPr>
          <w:rFonts w:ascii="Calibri Light" w:eastAsia="Times New Roman" w:hAnsi="Calibri Light" w:cs="Calibri Light"/>
          <w:sz w:val="20"/>
          <w:szCs w:val="20"/>
        </w:rPr>
        <w:t>maximum periods of service</w:t>
      </w:r>
      <w:r w:rsidR="00DA78FF" w:rsidRPr="002D4B23">
        <w:rPr>
          <w:rFonts w:ascii="Calibri Light" w:eastAsia="Times New Roman" w:hAnsi="Calibri Light" w:cs="Calibri Light"/>
          <w:sz w:val="20"/>
          <w:szCs w:val="20"/>
        </w:rPr>
        <w:t>’</w:t>
      </w:r>
      <w:r w:rsidRPr="002D4B23">
        <w:rPr>
          <w:rFonts w:ascii="Calibri Light" w:eastAsia="Times New Roman" w:hAnsi="Calibri Light" w:cs="Calibri Light"/>
          <w:sz w:val="20"/>
          <w:szCs w:val="20"/>
        </w:rPr>
        <w:t xml:space="preserve"> for members on the groups</w:t>
      </w:r>
      <w:r w:rsidR="00DA78FF" w:rsidRPr="002D4B23">
        <w:rPr>
          <w:rFonts w:ascii="Calibri Light" w:eastAsia="Times New Roman" w:hAnsi="Calibri Light" w:cs="Calibri Light"/>
          <w:sz w:val="20"/>
          <w:szCs w:val="20"/>
        </w:rPr>
        <w:t xml:space="preserve"> may be useful, although balancing this with continuity may be challenging in practice</w:t>
      </w:r>
      <w:r w:rsidRPr="002D4B23">
        <w:rPr>
          <w:rFonts w:ascii="Calibri Light" w:eastAsia="Times New Roman" w:hAnsi="Calibri Light" w:cs="Calibri Light"/>
          <w:sz w:val="20"/>
          <w:szCs w:val="20"/>
        </w:rPr>
        <w:t xml:space="preserve">. </w:t>
      </w:r>
    </w:p>
    <w:p w14:paraId="4765A104" w14:textId="723A9855" w:rsidR="00A64E23" w:rsidRPr="002D4B23" w:rsidRDefault="00A64E23" w:rsidP="002D4B23">
      <w:pPr>
        <w:spacing w:before="160" w:line="240" w:lineRule="auto"/>
        <w:ind w:left="567"/>
        <w:rPr>
          <w:rFonts w:ascii="Calibri Light" w:eastAsia="Times New Roman" w:hAnsi="Calibri Light" w:cs="Calibri Light"/>
          <w:sz w:val="20"/>
          <w:szCs w:val="20"/>
        </w:rPr>
      </w:pPr>
      <w:r w:rsidRPr="002D4B23">
        <w:rPr>
          <w:rFonts w:ascii="Calibri Light" w:eastAsia="Times New Roman" w:hAnsi="Calibri Light" w:cs="Calibri Light"/>
          <w:sz w:val="20"/>
          <w:szCs w:val="20"/>
        </w:rPr>
        <w:t xml:space="preserve">Finally, we believe that it is important that the ISGs can challenge the companies, but </w:t>
      </w:r>
      <w:r w:rsidR="00DA78FF" w:rsidRPr="002D4B23">
        <w:rPr>
          <w:rFonts w:ascii="Calibri Light" w:eastAsia="Times New Roman" w:hAnsi="Calibri Light" w:cs="Calibri Light"/>
          <w:sz w:val="20"/>
          <w:szCs w:val="20"/>
        </w:rPr>
        <w:t xml:space="preserve">it is also important </w:t>
      </w:r>
      <w:r w:rsidRPr="002D4B23">
        <w:rPr>
          <w:rFonts w:ascii="Calibri Light" w:eastAsia="Times New Roman" w:hAnsi="Calibri Light" w:cs="Calibri Light"/>
          <w:sz w:val="20"/>
          <w:szCs w:val="20"/>
        </w:rPr>
        <w:t>that the loop is always closed</w:t>
      </w:r>
      <w:r w:rsidR="00DA78FF" w:rsidRPr="002D4B23">
        <w:rPr>
          <w:rFonts w:ascii="Calibri Light" w:eastAsia="Times New Roman" w:hAnsi="Calibri Light" w:cs="Calibri Light"/>
          <w:sz w:val="20"/>
          <w:szCs w:val="20"/>
        </w:rPr>
        <w:t xml:space="preserve">, with </w:t>
      </w:r>
      <w:r w:rsidR="00DA78FF" w:rsidRPr="002D4B23">
        <w:rPr>
          <w:rFonts w:ascii="Calibri Light" w:eastAsia="Times New Roman" w:hAnsi="Calibri Light" w:cs="Calibri Light"/>
          <w:b/>
          <w:bCs/>
          <w:sz w:val="20"/>
          <w:szCs w:val="20"/>
        </w:rPr>
        <w:t>company feedback</w:t>
      </w:r>
      <w:r w:rsidR="00DA78FF" w:rsidRPr="002D4B23">
        <w:rPr>
          <w:rFonts w:ascii="Calibri Light" w:eastAsia="Times New Roman" w:hAnsi="Calibri Light" w:cs="Calibri Light"/>
          <w:sz w:val="20"/>
          <w:szCs w:val="20"/>
        </w:rPr>
        <w:t xml:space="preserve"> given to each ISG</w:t>
      </w:r>
      <w:r w:rsidRPr="002D4B23">
        <w:rPr>
          <w:rFonts w:ascii="Calibri Light" w:eastAsia="Times New Roman" w:hAnsi="Calibri Light" w:cs="Calibri Light"/>
          <w:sz w:val="20"/>
          <w:szCs w:val="20"/>
        </w:rPr>
        <w:t xml:space="preserve"> on what the company did </w:t>
      </w:r>
      <w:r w:rsidR="009C3375" w:rsidRPr="009C3375">
        <w:rPr>
          <w:rFonts w:ascii="Calibri Light" w:eastAsia="Times New Roman" w:hAnsi="Calibri Light" w:cs="Calibri Light"/>
          <w:sz w:val="20"/>
          <w:szCs w:val="20"/>
        </w:rPr>
        <w:t>(including when there was no change to the company’s approach)</w:t>
      </w:r>
      <w:r w:rsidR="009C3375">
        <w:rPr>
          <w:rFonts w:ascii="Calibri Light" w:eastAsia="Times New Roman" w:hAnsi="Calibri Light" w:cs="Calibri Light"/>
          <w:sz w:val="20"/>
          <w:szCs w:val="20"/>
        </w:rPr>
        <w:t xml:space="preserve">, </w:t>
      </w:r>
      <w:r w:rsidRPr="002D4B23">
        <w:rPr>
          <w:rFonts w:ascii="Calibri Light" w:eastAsia="Times New Roman" w:hAnsi="Calibri Light" w:cs="Calibri Light"/>
          <w:sz w:val="20"/>
          <w:szCs w:val="20"/>
        </w:rPr>
        <w:t xml:space="preserve">and the benefits, if any </w:t>
      </w:r>
      <w:r w:rsidR="000A34C7">
        <w:rPr>
          <w:rFonts w:ascii="Calibri Light" w:eastAsia="Times New Roman" w:hAnsi="Calibri Light" w:cs="Calibri Light"/>
          <w:sz w:val="20"/>
          <w:szCs w:val="20"/>
        </w:rPr>
        <w:t xml:space="preserve">that </w:t>
      </w:r>
      <w:r w:rsidRPr="002D4B23">
        <w:rPr>
          <w:rFonts w:ascii="Calibri Light" w:eastAsia="Times New Roman" w:hAnsi="Calibri Light" w:cs="Calibri Light"/>
          <w:sz w:val="20"/>
          <w:szCs w:val="20"/>
        </w:rPr>
        <w:t xml:space="preserve">they saw. This will help understand the benefits of investing in the ISGs, for the ISGs themselves, for the companies and for Ofgem. </w:t>
      </w:r>
    </w:p>
    <w:p w14:paraId="49B0A949" w14:textId="64D142B3" w:rsidR="007673CF" w:rsidRDefault="007673CF" w:rsidP="002F5362">
      <w:pPr>
        <w:pStyle w:val="Default"/>
        <w:spacing w:before="120" w:after="120"/>
        <w:ind w:left="720"/>
        <w:rPr>
          <w:rFonts w:asciiTheme="minorHAnsi" w:hAnsiTheme="minorHAnsi" w:cstheme="minorHAnsi"/>
          <w:color w:val="000000" w:themeColor="text1"/>
          <w:sz w:val="20"/>
          <w:szCs w:val="18"/>
          <w:lang w:val="en-US" w:eastAsia="en-US"/>
        </w:rPr>
      </w:pPr>
    </w:p>
    <w:p w14:paraId="267EB9D5" w14:textId="77777777" w:rsidR="002D4B23" w:rsidRDefault="002D4B23">
      <w:pPr>
        <w:rPr>
          <w:rFonts w:asciiTheme="majorHAnsi" w:eastAsiaTheme="minorEastAsia" w:hAnsiTheme="majorHAnsi" w:cstheme="majorHAnsi"/>
          <w:b/>
          <w:bCs/>
          <w:color w:val="000000" w:themeColor="text1"/>
          <w:sz w:val="20"/>
          <w:szCs w:val="18"/>
          <w:lang w:eastAsia="ja-JP"/>
        </w:rPr>
      </w:pPr>
      <w:r>
        <w:rPr>
          <w:rFonts w:asciiTheme="majorHAnsi" w:hAnsiTheme="majorHAnsi" w:cstheme="majorHAnsi"/>
          <w:b/>
          <w:bCs/>
          <w:color w:val="000000" w:themeColor="text1"/>
          <w:sz w:val="20"/>
          <w:szCs w:val="18"/>
        </w:rPr>
        <w:br w:type="page"/>
      </w:r>
    </w:p>
    <w:p w14:paraId="0206BAC9" w14:textId="3CDA8720" w:rsidR="00A0245B" w:rsidRPr="00A0245B" w:rsidRDefault="00A0245B" w:rsidP="00156B07">
      <w:pPr>
        <w:pStyle w:val="Default"/>
        <w:spacing w:before="120" w:after="120"/>
        <w:ind w:left="360"/>
        <w:rPr>
          <w:rFonts w:asciiTheme="majorHAnsi" w:hAnsiTheme="majorHAnsi" w:cstheme="majorHAnsi"/>
          <w:b/>
          <w:bCs/>
          <w:color w:val="000000" w:themeColor="text1"/>
          <w:sz w:val="20"/>
          <w:szCs w:val="18"/>
        </w:rPr>
      </w:pPr>
      <w:r w:rsidRPr="00A0245B">
        <w:rPr>
          <w:rFonts w:asciiTheme="majorHAnsi" w:hAnsiTheme="majorHAnsi" w:cstheme="majorHAnsi"/>
          <w:b/>
          <w:bCs/>
          <w:color w:val="000000" w:themeColor="text1"/>
          <w:sz w:val="20"/>
          <w:szCs w:val="18"/>
        </w:rPr>
        <w:lastRenderedPageBreak/>
        <w:t xml:space="preserve">OVQ2. Do you agree with our proposed position on the Environmental Action Plan and Annual Environmental Report ODI-R for RIIO-3? </w:t>
      </w:r>
    </w:p>
    <w:p w14:paraId="573870EF" w14:textId="479BF97C" w:rsidR="00A0245B" w:rsidRPr="002D4B23" w:rsidRDefault="000A34C7" w:rsidP="000A34C7">
      <w:pPr>
        <w:pStyle w:val="Default"/>
        <w:spacing w:before="120" w:after="120"/>
        <w:ind w:left="567"/>
        <w:rPr>
          <w:rFonts w:asciiTheme="majorHAnsi" w:hAnsiTheme="majorHAnsi" w:cstheme="majorHAnsi"/>
          <w:color w:val="auto"/>
          <w:sz w:val="20"/>
          <w:szCs w:val="18"/>
        </w:rPr>
      </w:pPr>
      <w:r>
        <w:rPr>
          <w:rFonts w:asciiTheme="majorHAnsi" w:hAnsiTheme="majorHAnsi" w:cstheme="majorHAnsi"/>
          <w:color w:val="auto"/>
          <w:sz w:val="20"/>
          <w:szCs w:val="18"/>
        </w:rPr>
        <w:t>We</w:t>
      </w:r>
      <w:r w:rsidR="002D4B23" w:rsidRPr="002D4B23">
        <w:rPr>
          <w:rFonts w:asciiTheme="majorHAnsi" w:hAnsiTheme="majorHAnsi" w:cstheme="majorHAnsi"/>
          <w:color w:val="auto"/>
          <w:sz w:val="20"/>
          <w:szCs w:val="18"/>
        </w:rPr>
        <w:t xml:space="preserve"> have two additional concerns we would recommend </w:t>
      </w:r>
      <w:r>
        <w:rPr>
          <w:rFonts w:asciiTheme="majorHAnsi" w:hAnsiTheme="majorHAnsi" w:cstheme="majorHAnsi"/>
          <w:color w:val="auto"/>
          <w:sz w:val="20"/>
          <w:szCs w:val="18"/>
        </w:rPr>
        <w:t xml:space="preserve">Ofgem </w:t>
      </w:r>
      <w:r w:rsidR="002D4B23" w:rsidRPr="002D4B23">
        <w:rPr>
          <w:rFonts w:asciiTheme="majorHAnsi" w:hAnsiTheme="majorHAnsi" w:cstheme="majorHAnsi"/>
          <w:color w:val="auto"/>
          <w:sz w:val="20"/>
          <w:szCs w:val="18"/>
        </w:rPr>
        <w:t xml:space="preserve">consider before finalising </w:t>
      </w:r>
      <w:r>
        <w:rPr>
          <w:rFonts w:asciiTheme="majorHAnsi" w:hAnsiTheme="majorHAnsi" w:cstheme="majorHAnsi"/>
          <w:color w:val="auto"/>
          <w:sz w:val="20"/>
          <w:szCs w:val="18"/>
        </w:rPr>
        <w:t>their</w:t>
      </w:r>
      <w:r w:rsidR="002D4B23" w:rsidRPr="002D4B23">
        <w:rPr>
          <w:rFonts w:asciiTheme="majorHAnsi" w:hAnsiTheme="majorHAnsi" w:cstheme="majorHAnsi"/>
          <w:color w:val="auto"/>
          <w:sz w:val="20"/>
          <w:szCs w:val="18"/>
        </w:rPr>
        <w:t xml:space="preserve"> position.</w:t>
      </w:r>
    </w:p>
    <w:p w14:paraId="3602F58E" w14:textId="52A95914" w:rsidR="002D4B23" w:rsidRPr="002D4B23" w:rsidRDefault="002D4B23" w:rsidP="002D4B23">
      <w:pPr>
        <w:pStyle w:val="Default"/>
        <w:spacing w:before="120" w:after="120"/>
        <w:ind w:left="567"/>
        <w:rPr>
          <w:rFonts w:asciiTheme="majorHAnsi" w:hAnsiTheme="majorHAnsi" w:cstheme="majorHAnsi"/>
          <w:color w:val="auto"/>
          <w:sz w:val="20"/>
          <w:szCs w:val="18"/>
        </w:rPr>
      </w:pPr>
      <w:r w:rsidRPr="002D4B23">
        <w:rPr>
          <w:rFonts w:asciiTheme="majorHAnsi" w:hAnsiTheme="majorHAnsi" w:cstheme="majorHAnsi"/>
          <w:color w:val="auto"/>
          <w:sz w:val="20"/>
          <w:szCs w:val="18"/>
        </w:rPr>
        <w:t xml:space="preserve">Firstly the </w:t>
      </w:r>
      <w:r w:rsidRPr="002D4B23">
        <w:rPr>
          <w:rFonts w:asciiTheme="majorHAnsi" w:hAnsiTheme="majorHAnsi" w:cstheme="majorHAnsi"/>
          <w:b/>
          <w:bCs/>
          <w:color w:val="auto"/>
          <w:sz w:val="20"/>
          <w:szCs w:val="18"/>
        </w:rPr>
        <w:t>ongoing challenge of standardisation</w:t>
      </w:r>
      <w:r w:rsidRPr="002D4B23">
        <w:rPr>
          <w:rFonts w:asciiTheme="majorHAnsi" w:hAnsiTheme="majorHAnsi" w:cstheme="majorHAnsi"/>
          <w:color w:val="auto"/>
          <w:sz w:val="20"/>
          <w:szCs w:val="18"/>
        </w:rPr>
        <w:t>. The draft determination commits to a set of minimum requirements for KPIs. It is important that each network company: (</w:t>
      </w:r>
      <w:proofErr w:type="spellStart"/>
      <w:r w:rsidRPr="002D4B23">
        <w:rPr>
          <w:rFonts w:asciiTheme="majorHAnsi" w:hAnsiTheme="majorHAnsi" w:cstheme="majorHAnsi"/>
          <w:color w:val="auto"/>
          <w:sz w:val="20"/>
          <w:szCs w:val="18"/>
        </w:rPr>
        <w:t>i</w:t>
      </w:r>
      <w:proofErr w:type="spellEnd"/>
      <w:r w:rsidRPr="002D4B23">
        <w:rPr>
          <w:rFonts w:asciiTheme="majorHAnsi" w:hAnsiTheme="majorHAnsi" w:cstheme="majorHAnsi"/>
          <w:color w:val="auto"/>
          <w:sz w:val="20"/>
          <w:szCs w:val="18"/>
        </w:rPr>
        <w:t>) uses a consistent basic set of KPIs; (ii) measures these using consistent methodologies</w:t>
      </w:r>
      <w:r w:rsidR="000A34C7">
        <w:rPr>
          <w:rFonts w:asciiTheme="majorHAnsi" w:hAnsiTheme="majorHAnsi" w:cstheme="majorHAnsi"/>
          <w:color w:val="auto"/>
          <w:sz w:val="20"/>
          <w:szCs w:val="18"/>
        </w:rPr>
        <w:t>,</w:t>
      </w:r>
      <w:r w:rsidRPr="002D4B23">
        <w:rPr>
          <w:rFonts w:asciiTheme="majorHAnsi" w:hAnsiTheme="majorHAnsi" w:cstheme="majorHAnsi"/>
          <w:color w:val="auto"/>
          <w:sz w:val="20"/>
          <w:szCs w:val="18"/>
        </w:rPr>
        <w:t xml:space="preserve"> so that performance across companies can be assessed; and (iii) is based on a stated standard</w:t>
      </w:r>
      <w:r w:rsidR="000A34C7">
        <w:rPr>
          <w:rFonts w:asciiTheme="majorHAnsi" w:hAnsiTheme="majorHAnsi" w:cstheme="majorHAnsi"/>
          <w:color w:val="auto"/>
          <w:sz w:val="20"/>
          <w:szCs w:val="18"/>
        </w:rPr>
        <w:t>,</w:t>
      </w:r>
      <w:r w:rsidRPr="002D4B23">
        <w:rPr>
          <w:rFonts w:asciiTheme="majorHAnsi" w:hAnsiTheme="majorHAnsi" w:cstheme="majorHAnsi"/>
          <w:color w:val="auto"/>
          <w:sz w:val="20"/>
          <w:szCs w:val="18"/>
        </w:rPr>
        <w:t xml:space="preserve"> so wider performance can be understood</w:t>
      </w:r>
      <w:r w:rsidRPr="005149D7">
        <w:rPr>
          <w:rFonts w:asciiTheme="majorHAnsi" w:hAnsiTheme="majorHAnsi" w:cstheme="majorHAnsi"/>
          <w:color w:val="auto"/>
          <w:sz w:val="20"/>
          <w:szCs w:val="18"/>
        </w:rPr>
        <w:t xml:space="preserve">. </w:t>
      </w:r>
      <w:r w:rsidR="000A34C7" w:rsidRPr="005149D7">
        <w:rPr>
          <w:rFonts w:asciiTheme="majorHAnsi" w:hAnsiTheme="majorHAnsi" w:cstheme="majorHAnsi"/>
          <w:color w:val="auto"/>
          <w:sz w:val="20"/>
          <w:szCs w:val="18"/>
        </w:rPr>
        <w:t>By way of example of the current problem</w:t>
      </w:r>
      <w:r w:rsidR="005149D7" w:rsidRPr="005149D7">
        <w:rPr>
          <w:rFonts w:asciiTheme="majorHAnsi" w:hAnsiTheme="majorHAnsi" w:cstheme="majorHAnsi"/>
          <w:color w:val="auto"/>
          <w:sz w:val="20"/>
          <w:szCs w:val="18"/>
        </w:rPr>
        <w:t>, we explain in our response to GDQ1 (below)</w:t>
      </w:r>
      <w:r w:rsidR="000A34C7" w:rsidRPr="005149D7">
        <w:rPr>
          <w:rFonts w:asciiTheme="majorHAnsi" w:hAnsiTheme="majorHAnsi" w:cstheme="majorHAnsi"/>
          <w:color w:val="auto"/>
          <w:sz w:val="20"/>
          <w:szCs w:val="18"/>
        </w:rPr>
        <w:t xml:space="preserve"> t</w:t>
      </w:r>
      <w:r w:rsidRPr="005149D7">
        <w:rPr>
          <w:rFonts w:asciiTheme="majorHAnsi" w:hAnsiTheme="majorHAnsi" w:cstheme="majorHAnsi"/>
          <w:color w:val="auto"/>
          <w:sz w:val="20"/>
          <w:szCs w:val="18"/>
        </w:rPr>
        <w:t xml:space="preserve">he </w:t>
      </w:r>
      <w:r w:rsidR="005149D7" w:rsidRPr="005149D7">
        <w:rPr>
          <w:rFonts w:asciiTheme="majorHAnsi" w:hAnsiTheme="majorHAnsi" w:cstheme="majorHAnsi"/>
          <w:color w:val="auto"/>
          <w:sz w:val="20"/>
          <w:szCs w:val="18"/>
        </w:rPr>
        <w:t xml:space="preserve">potential </w:t>
      </w:r>
      <w:r w:rsidRPr="005149D7">
        <w:rPr>
          <w:rFonts w:asciiTheme="majorHAnsi" w:hAnsiTheme="majorHAnsi" w:cstheme="majorHAnsi"/>
          <w:color w:val="auto"/>
          <w:sz w:val="20"/>
          <w:szCs w:val="18"/>
        </w:rPr>
        <w:t>inconsistencies in the assessments of Business Carbon Footprint</w:t>
      </w:r>
      <w:r w:rsidR="005149D7" w:rsidRPr="005149D7">
        <w:rPr>
          <w:rFonts w:asciiTheme="majorHAnsi" w:hAnsiTheme="majorHAnsi" w:cstheme="majorHAnsi"/>
          <w:color w:val="auto"/>
          <w:sz w:val="20"/>
          <w:szCs w:val="18"/>
        </w:rPr>
        <w:t>, which</w:t>
      </w:r>
      <w:r w:rsidRPr="005149D7">
        <w:rPr>
          <w:rFonts w:asciiTheme="majorHAnsi" w:hAnsiTheme="majorHAnsi" w:cstheme="majorHAnsi"/>
          <w:color w:val="auto"/>
          <w:sz w:val="20"/>
          <w:szCs w:val="18"/>
        </w:rPr>
        <w:t xml:space="preserve"> demonstrate the importance of standardisation.</w:t>
      </w:r>
    </w:p>
    <w:p w14:paraId="5FF4329E" w14:textId="77777777" w:rsidR="002D4B23" w:rsidRPr="002D4B23" w:rsidRDefault="002D4B23" w:rsidP="002D4B23">
      <w:pPr>
        <w:pStyle w:val="Default"/>
        <w:spacing w:before="120" w:after="120"/>
        <w:ind w:left="567"/>
        <w:rPr>
          <w:rFonts w:asciiTheme="majorHAnsi" w:hAnsiTheme="majorHAnsi" w:cstheme="majorHAnsi"/>
          <w:color w:val="auto"/>
          <w:sz w:val="20"/>
          <w:szCs w:val="18"/>
        </w:rPr>
      </w:pPr>
      <w:r w:rsidRPr="002D4B23">
        <w:rPr>
          <w:rFonts w:asciiTheme="majorHAnsi" w:hAnsiTheme="majorHAnsi" w:cstheme="majorHAnsi"/>
          <w:color w:val="auto"/>
          <w:sz w:val="20"/>
          <w:szCs w:val="18"/>
        </w:rPr>
        <w:t xml:space="preserve">Secondly, </w:t>
      </w:r>
      <w:r w:rsidRPr="002D4B23">
        <w:rPr>
          <w:rFonts w:asciiTheme="majorHAnsi" w:hAnsiTheme="majorHAnsi" w:cstheme="majorHAnsi"/>
          <w:b/>
          <w:bCs/>
          <w:color w:val="auto"/>
          <w:sz w:val="20"/>
          <w:szCs w:val="18"/>
        </w:rPr>
        <w:t>incorporating wider sustainability considerations</w:t>
      </w:r>
      <w:r w:rsidRPr="002D4B23">
        <w:rPr>
          <w:rFonts w:asciiTheme="majorHAnsi" w:hAnsiTheme="majorHAnsi" w:cstheme="majorHAnsi"/>
          <w:color w:val="auto"/>
          <w:sz w:val="20"/>
          <w:szCs w:val="18"/>
        </w:rPr>
        <w:t>. The Cadent ISG focuses on sustainability rather than environment because sustainability is a more holistic target. Sometimes actions that are positive for the environment can have negative social or economic consequences (the other two pillars of sustainability). It is not clear that such trade-offs, particularly where there are social consequences, are considered in the RIIO-3 process. Hence while the space to expand upon certain areas or provide information not included in the environmental reporting guidance is welcome, the most important task is to ensure that the wider implications of environmental decisions are considered.</w:t>
      </w:r>
    </w:p>
    <w:p w14:paraId="61AD02C2" w14:textId="77777777" w:rsidR="00156B07" w:rsidRDefault="00156B07" w:rsidP="00A0245B">
      <w:pPr>
        <w:pStyle w:val="Default"/>
        <w:spacing w:before="120" w:after="120"/>
        <w:rPr>
          <w:rFonts w:asciiTheme="majorHAnsi" w:hAnsiTheme="majorHAnsi" w:cstheme="majorHAnsi"/>
          <w:color w:val="000000" w:themeColor="text1"/>
          <w:sz w:val="20"/>
          <w:szCs w:val="18"/>
        </w:rPr>
      </w:pPr>
    </w:p>
    <w:p w14:paraId="0865E40A" w14:textId="5054D645" w:rsidR="00A0245B" w:rsidRPr="00A0245B" w:rsidRDefault="00A0245B" w:rsidP="00C44940">
      <w:pPr>
        <w:pStyle w:val="Default"/>
        <w:spacing w:before="120" w:after="120"/>
        <w:ind w:firstLine="284"/>
        <w:rPr>
          <w:rFonts w:asciiTheme="majorHAnsi" w:hAnsiTheme="majorHAnsi" w:cstheme="majorHAnsi"/>
          <w:b/>
          <w:bCs/>
          <w:color w:val="000000" w:themeColor="text1"/>
          <w:sz w:val="20"/>
          <w:szCs w:val="18"/>
        </w:rPr>
      </w:pPr>
      <w:r w:rsidRPr="00A0245B">
        <w:rPr>
          <w:rFonts w:asciiTheme="majorHAnsi" w:hAnsiTheme="majorHAnsi" w:cstheme="majorHAnsi"/>
          <w:b/>
          <w:bCs/>
          <w:color w:val="000000" w:themeColor="text1"/>
          <w:sz w:val="20"/>
          <w:szCs w:val="18"/>
        </w:rPr>
        <w:t>OVQ8. Do you agree with our approach taken to review of the Climate Resilience strategies?</w:t>
      </w:r>
    </w:p>
    <w:p w14:paraId="40E6F9E0" w14:textId="683B64B3" w:rsidR="004736A1" w:rsidRDefault="008130CE" w:rsidP="00BA31C2">
      <w:pPr>
        <w:pStyle w:val="Default"/>
        <w:spacing w:before="120" w:after="120"/>
        <w:ind w:left="567"/>
        <w:rPr>
          <w:rFonts w:asciiTheme="majorHAnsi" w:hAnsiTheme="majorHAnsi" w:cstheme="majorHAnsi"/>
          <w:color w:val="auto"/>
          <w:sz w:val="20"/>
          <w:szCs w:val="18"/>
        </w:rPr>
      </w:pPr>
      <w:r>
        <w:rPr>
          <w:rFonts w:asciiTheme="majorHAnsi" w:hAnsiTheme="majorHAnsi" w:cstheme="majorHAnsi"/>
          <w:color w:val="auto"/>
          <w:sz w:val="20"/>
          <w:szCs w:val="18"/>
        </w:rPr>
        <w:t xml:space="preserve">No we do not agree with </w:t>
      </w:r>
      <w:proofErr w:type="spellStart"/>
      <w:r>
        <w:rPr>
          <w:rFonts w:asciiTheme="majorHAnsi" w:hAnsiTheme="majorHAnsi" w:cstheme="majorHAnsi"/>
          <w:color w:val="auto"/>
          <w:sz w:val="20"/>
          <w:szCs w:val="18"/>
        </w:rPr>
        <w:t>Ofgem’s</w:t>
      </w:r>
      <w:proofErr w:type="spellEnd"/>
      <w:r>
        <w:rPr>
          <w:rFonts w:asciiTheme="majorHAnsi" w:hAnsiTheme="majorHAnsi" w:cstheme="majorHAnsi"/>
          <w:color w:val="auto"/>
          <w:sz w:val="20"/>
          <w:szCs w:val="18"/>
        </w:rPr>
        <w:t xml:space="preserve"> approach. We believe that the climate resilience methodology needs to be standardised and centrally coordinated via Ofgem and possibly </w:t>
      </w:r>
      <w:r w:rsidR="007936E9">
        <w:rPr>
          <w:rFonts w:asciiTheme="majorHAnsi" w:hAnsiTheme="majorHAnsi" w:cstheme="majorHAnsi"/>
          <w:color w:val="auto"/>
          <w:sz w:val="20"/>
          <w:szCs w:val="18"/>
        </w:rPr>
        <w:t xml:space="preserve">involve the </w:t>
      </w:r>
      <w:r>
        <w:rPr>
          <w:rFonts w:asciiTheme="majorHAnsi" w:hAnsiTheme="majorHAnsi" w:cstheme="majorHAnsi"/>
          <w:color w:val="auto"/>
          <w:sz w:val="20"/>
          <w:szCs w:val="18"/>
        </w:rPr>
        <w:t xml:space="preserve">NESO. As per Ofgem’s update in April 2025, there is currently inconsistencies in Climate </w:t>
      </w:r>
      <w:r w:rsidR="006C5FD5">
        <w:rPr>
          <w:rFonts w:asciiTheme="majorHAnsi" w:hAnsiTheme="majorHAnsi" w:cstheme="majorHAnsi"/>
          <w:color w:val="auto"/>
          <w:sz w:val="20"/>
          <w:szCs w:val="18"/>
        </w:rPr>
        <w:t>Resilience</w:t>
      </w:r>
      <w:r>
        <w:rPr>
          <w:rFonts w:asciiTheme="majorHAnsi" w:hAnsiTheme="majorHAnsi" w:cstheme="majorHAnsi"/>
          <w:color w:val="auto"/>
          <w:sz w:val="20"/>
          <w:szCs w:val="18"/>
        </w:rPr>
        <w:t xml:space="preserve"> best practices across network operators, as well as across key agencies e.g. NESO, DESNZ etc. It is in the best interest of customers</w:t>
      </w:r>
      <w:r w:rsidR="007936E9">
        <w:rPr>
          <w:rFonts w:asciiTheme="majorHAnsi" w:hAnsiTheme="majorHAnsi" w:cstheme="majorHAnsi"/>
          <w:color w:val="auto"/>
          <w:sz w:val="20"/>
          <w:szCs w:val="18"/>
        </w:rPr>
        <w:t>,</w:t>
      </w:r>
      <w:r>
        <w:rPr>
          <w:rFonts w:asciiTheme="majorHAnsi" w:hAnsiTheme="majorHAnsi" w:cstheme="majorHAnsi"/>
          <w:color w:val="auto"/>
          <w:sz w:val="20"/>
          <w:szCs w:val="18"/>
        </w:rPr>
        <w:t xml:space="preserve"> in terms of costs and risks to services, to avoid the cost of replication or risks of parallel and non-compatible best practices. We would like to see climate resilience planning becoming a more centralised and standardised capability with a common framework, methodology and language. In partnership Ofgem should consider leveraging </w:t>
      </w:r>
      <w:r w:rsidR="007936E9">
        <w:rPr>
          <w:rFonts w:asciiTheme="majorHAnsi" w:hAnsiTheme="majorHAnsi" w:cstheme="majorHAnsi"/>
          <w:color w:val="auto"/>
          <w:sz w:val="20"/>
          <w:szCs w:val="18"/>
        </w:rPr>
        <w:t>t</w:t>
      </w:r>
      <w:r>
        <w:rPr>
          <w:rFonts w:asciiTheme="majorHAnsi" w:hAnsiTheme="majorHAnsi" w:cstheme="majorHAnsi"/>
          <w:color w:val="auto"/>
          <w:sz w:val="20"/>
          <w:szCs w:val="18"/>
        </w:rPr>
        <w:t xml:space="preserve">he existing work of the Department for Transport (DfT) and the National Digital Twin programme with respect to </w:t>
      </w:r>
      <w:r w:rsidR="00195B71">
        <w:rPr>
          <w:rFonts w:asciiTheme="majorHAnsi" w:hAnsiTheme="majorHAnsi" w:cstheme="majorHAnsi"/>
          <w:color w:val="auto"/>
          <w:sz w:val="20"/>
          <w:szCs w:val="18"/>
        </w:rPr>
        <w:t>C</w:t>
      </w:r>
      <w:r>
        <w:rPr>
          <w:rFonts w:asciiTheme="majorHAnsi" w:hAnsiTheme="majorHAnsi" w:cstheme="majorHAnsi"/>
          <w:color w:val="auto"/>
          <w:sz w:val="20"/>
          <w:szCs w:val="18"/>
        </w:rPr>
        <w:t xml:space="preserve">NI integration and crisis response. Inconsistency across networks would be a source of future vulnerability, given the increasing need for integrated planning and response. </w:t>
      </w:r>
    </w:p>
    <w:p w14:paraId="4D7C50F3" w14:textId="77777777" w:rsidR="00156B07" w:rsidRPr="00A0245B" w:rsidRDefault="00156B07" w:rsidP="008130CE">
      <w:pPr>
        <w:pStyle w:val="Default"/>
        <w:spacing w:before="120" w:after="120"/>
        <w:rPr>
          <w:rFonts w:asciiTheme="majorHAnsi" w:hAnsiTheme="majorHAnsi" w:cstheme="majorHAnsi"/>
          <w:color w:val="000000" w:themeColor="text1"/>
          <w:sz w:val="20"/>
          <w:szCs w:val="18"/>
        </w:rPr>
      </w:pPr>
    </w:p>
    <w:p w14:paraId="7DDFFA7C" w14:textId="77777777" w:rsidR="00A0245B" w:rsidRPr="00156B07" w:rsidRDefault="00A0245B" w:rsidP="00C44940">
      <w:pPr>
        <w:pStyle w:val="Default"/>
        <w:spacing w:before="120" w:after="120"/>
        <w:ind w:left="284"/>
        <w:rPr>
          <w:rFonts w:asciiTheme="majorHAnsi" w:hAnsiTheme="majorHAnsi" w:cstheme="majorHAnsi"/>
          <w:b/>
          <w:bCs/>
          <w:color w:val="000000" w:themeColor="text1"/>
          <w:sz w:val="20"/>
          <w:szCs w:val="18"/>
        </w:rPr>
      </w:pPr>
      <w:r w:rsidRPr="006C5FD5">
        <w:rPr>
          <w:rFonts w:asciiTheme="majorHAnsi" w:hAnsiTheme="majorHAnsi" w:cstheme="majorHAnsi"/>
          <w:b/>
          <w:bCs/>
          <w:color w:val="000000" w:themeColor="text1"/>
          <w:sz w:val="20"/>
          <w:szCs w:val="18"/>
        </w:rPr>
        <w:t>OVQ33. Do you agree on the need to clarify roles and responsibilities within the innovation ecosystem, and the factors that we should consider?</w:t>
      </w:r>
      <w:r w:rsidRPr="00A0245B">
        <w:rPr>
          <w:rFonts w:asciiTheme="majorHAnsi" w:hAnsiTheme="majorHAnsi" w:cstheme="majorHAnsi"/>
          <w:b/>
          <w:bCs/>
          <w:color w:val="000000" w:themeColor="text1"/>
          <w:sz w:val="20"/>
          <w:szCs w:val="18"/>
        </w:rPr>
        <w:t xml:space="preserve"> </w:t>
      </w:r>
    </w:p>
    <w:p w14:paraId="46B2A221" w14:textId="14671C9D" w:rsidR="008B3919" w:rsidRPr="00370429" w:rsidRDefault="00370429" w:rsidP="008B3919">
      <w:pPr>
        <w:pStyle w:val="Default"/>
        <w:spacing w:before="120" w:after="120"/>
        <w:ind w:left="567"/>
        <w:rPr>
          <w:rFonts w:asciiTheme="majorHAnsi" w:hAnsiTheme="majorHAnsi" w:cstheme="majorHAnsi"/>
          <w:color w:val="auto"/>
          <w:sz w:val="20"/>
          <w:szCs w:val="18"/>
        </w:rPr>
      </w:pPr>
      <w:bookmarkStart w:id="0" w:name="_Hlk206663396"/>
      <w:r w:rsidRPr="00370429">
        <w:rPr>
          <w:rFonts w:asciiTheme="majorHAnsi" w:hAnsiTheme="majorHAnsi" w:cstheme="majorHAnsi"/>
          <w:b/>
          <w:bCs/>
          <w:color w:val="auto"/>
          <w:sz w:val="20"/>
          <w:szCs w:val="18"/>
        </w:rPr>
        <w:t>No</w:t>
      </w:r>
      <w:r w:rsidR="00E079DA">
        <w:rPr>
          <w:rFonts w:asciiTheme="majorHAnsi" w:hAnsiTheme="majorHAnsi" w:cstheme="majorHAnsi"/>
          <w:b/>
          <w:bCs/>
          <w:color w:val="auto"/>
          <w:sz w:val="20"/>
          <w:szCs w:val="18"/>
        </w:rPr>
        <w:t xml:space="preserve"> we do not agree</w:t>
      </w:r>
      <w:r w:rsidRPr="00370429">
        <w:rPr>
          <w:rFonts w:asciiTheme="majorHAnsi" w:hAnsiTheme="majorHAnsi" w:cstheme="majorHAnsi"/>
          <w:color w:val="auto"/>
          <w:sz w:val="20"/>
          <w:szCs w:val="18"/>
        </w:rPr>
        <w:t xml:space="preserve">, </w:t>
      </w:r>
      <w:r w:rsidR="00E079DA">
        <w:rPr>
          <w:rFonts w:asciiTheme="majorHAnsi" w:hAnsiTheme="majorHAnsi" w:cstheme="majorHAnsi"/>
          <w:color w:val="auto"/>
          <w:sz w:val="20"/>
          <w:szCs w:val="18"/>
        </w:rPr>
        <w:t>we</w:t>
      </w:r>
      <w:r w:rsidRPr="00370429">
        <w:rPr>
          <w:rFonts w:asciiTheme="majorHAnsi" w:hAnsiTheme="majorHAnsi" w:cstheme="majorHAnsi"/>
          <w:color w:val="auto"/>
          <w:sz w:val="20"/>
          <w:szCs w:val="18"/>
        </w:rPr>
        <w:t xml:space="preserve"> believe this initiative is very likely to lead to restrictions on new market entrants and emergent technologies, especially from other alternative critical national infrastructure markets. </w:t>
      </w:r>
      <w:r w:rsidR="008130CE">
        <w:rPr>
          <w:rFonts w:asciiTheme="majorHAnsi" w:hAnsiTheme="majorHAnsi" w:cstheme="majorHAnsi"/>
          <w:color w:val="auto"/>
          <w:sz w:val="20"/>
          <w:szCs w:val="18"/>
        </w:rPr>
        <w:t xml:space="preserve">We believe </w:t>
      </w:r>
      <w:r w:rsidRPr="00370429">
        <w:rPr>
          <w:rFonts w:asciiTheme="majorHAnsi" w:hAnsiTheme="majorHAnsi" w:cstheme="majorHAnsi"/>
          <w:color w:val="auto"/>
          <w:sz w:val="20"/>
          <w:szCs w:val="18"/>
        </w:rPr>
        <w:t>that the</w:t>
      </w:r>
      <w:r w:rsidR="008B3919">
        <w:rPr>
          <w:rFonts w:asciiTheme="majorHAnsi" w:hAnsiTheme="majorHAnsi" w:cstheme="majorHAnsi"/>
          <w:color w:val="auto"/>
          <w:sz w:val="20"/>
          <w:szCs w:val="18"/>
        </w:rPr>
        <w:t>re is a</w:t>
      </w:r>
      <w:r w:rsidRPr="00370429">
        <w:rPr>
          <w:rFonts w:asciiTheme="majorHAnsi" w:hAnsiTheme="majorHAnsi" w:cstheme="majorHAnsi"/>
          <w:color w:val="auto"/>
          <w:sz w:val="20"/>
          <w:szCs w:val="18"/>
        </w:rPr>
        <w:t xml:space="preserve"> risk in creating </w:t>
      </w:r>
      <w:r w:rsidR="008B3919">
        <w:rPr>
          <w:rFonts w:asciiTheme="majorHAnsi" w:hAnsiTheme="majorHAnsi" w:cstheme="majorHAnsi"/>
          <w:color w:val="auto"/>
          <w:sz w:val="20"/>
          <w:szCs w:val="18"/>
        </w:rPr>
        <w:t>predefined roles and responsibilities for partners</w:t>
      </w:r>
      <w:r w:rsidRPr="00370429">
        <w:rPr>
          <w:rFonts w:asciiTheme="majorHAnsi" w:hAnsiTheme="majorHAnsi" w:cstheme="majorHAnsi"/>
          <w:color w:val="auto"/>
          <w:sz w:val="20"/>
          <w:szCs w:val="18"/>
        </w:rPr>
        <w:t xml:space="preserve"> </w:t>
      </w:r>
      <w:r w:rsidR="008B3919">
        <w:rPr>
          <w:rFonts w:asciiTheme="majorHAnsi" w:hAnsiTheme="majorHAnsi" w:cstheme="majorHAnsi"/>
          <w:color w:val="auto"/>
          <w:sz w:val="20"/>
          <w:szCs w:val="18"/>
        </w:rPr>
        <w:t>in the NIA/NIC process</w:t>
      </w:r>
      <w:r w:rsidRPr="00370429">
        <w:rPr>
          <w:rFonts w:asciiTheme="majorHAnsi" w:hAnsiTheme="majorHAnsi" w:cstheme="majorHAnsi"/>
          <w:color w:val="auto"/>
          <w:sz w:val="20"/>
          <w:szCs w:val="18"/>
        </w:rPr>
        <w:t xml:space="preserve">, </w:t>
      </w:r>
      <w:r w:rsidR="008B3919">
        <w:rPr>
          <w:rFonts w:asciiTheme="majorHAnsi" w:hAnsiTheme="majorHAnsi" w:cstheme="majorHAnsi"/>
          <w:color w:val="auto"/>
          <w:sz w:val="20"/>
          <w:szCs w:val="18"/>
        </w:rPr>
        <w:t>as</w:t>
      </w:r>
      <w:r w:rsidRPr="00370429">
        <w:rPr>
          <w:rFonts w:asciiTheme="majorHAnsi" w:hAnsiTheme="majorHAnsi" w:cstheme="majorHAnsi"/>
          <w:color w:val="auto"/>
          <w:sz w:val="20"/>
          <w:szCs w:val="18"/>
        </w:rPr>
        <w:t xml:space="preserve"> there will be a direct impact on costs</w:t>
      </w:r>
      <w:r w:rsidR="007936E9">
        <w:rPr>
          <w:rFonts w:asciiTheme="majorHAnsi" w:hAnsiTheme="majorHAnsi" w:cstheme="majorHAnsi"/>
          <w:color w:val="auto"/>
          <w:sz w:val="20"/>
          <w:szCs w:val="18"/>
        </w:rPr>
        <w:t>;</w:t>
      </w:r>
      <w:r w:rsidRPr="00370429">
        <w:rPr>
          <w:rFonts w:asciiTheme="majorHAnsi" w:hAnsiTheme="majorHAnsi" w:cstheme="majorHAnsi"/>
          <w:color w:val="auto"/>
          <w:sz w:val="20"/>
          <w:szCs w:val="18"/>
        </w:rPr>
        <w:t xml:space="preserve"> creativity will decrease and </w:t>
      </w:r>
      <w:r w:rsidR="008130CE">
        <w:rPr>
          <w:rFonts w:asciiTheme="majorHAnsi" w:hAnsiTheme="majorHAnsi" w:cstheme="majorHAnsi"/>
          <w:color w:val="auto"/>
          <w:sz w:val="20"/>
          <w:szCs w:val="18"/>
        </w:rPr>
        <w:t xml:space="preserve">the energy sector’s </w:t>
      </w:r>
      <w:r w:rsidRPr="00370429">
        <w:rPr>
          <w:rFonts w:asciiTheme="majorHAnsi" w:hAnsiTheme="majorHAnsi" w:cstheme="majorHAnsi"/>
          <w:color w:val="auto"/>
          <w:sz w:val="20"/>
          <w:szCs w:val="18"/>
        </w:rPr>
        <w:t xml:space="preserve">access to support from </w:t>
      </w:r>
      <w:r w:rsidR="008130CE">
        <w:rPr>
          <w:rFonts w:asciiTheme="majorHAnsi" w:hAnsiTheme="majorHAnsi" w:cstheme="majorHAnsi"/>
          <w:color w:val="auto"/>
          <w:sz w:val="20"/>
          <w:szCs w:val="18"/>
        </w:rPr>
        <w:t>other</w:t>
      </w:r>
      <w:r w:rsidRPr="00370429">
        <w:rPr>
          <w:rFonts w:asciiTheme="majorHAnsi" w:hAnsiTheme="majorHAnsi" w:cstheme="majorHAnsi"/>
          <w:color w:val="auto"/>
          <w:sz w:val="20"/>
          <w:szCs w:val="18"/>
        </w:rPr>
        <w:t xml:space="preserve"> markets</w:t>
      </w:r>
      <w:r w:rsidR="008130CE">
        <w:rPr>
          <w:rFonts w:asciiTheme="majorHAnsi" w:hAnsiTheme="majorHAnsi" w:cstheme="majorHAnsi"/>
          <w:color w:val="auto"/>
          <w:sz w:val="20"/>
          <w:szCs w:val="18"/>
        </w:rPr>
        <w:t xml:space="preserve"> will decrease, as</w:t>
      </w:r>
      <w:r w:rsidRPr="00370429">
        <w:rPr>
          <w:rFonts w:asciiTheme="majorHAnsi" w:hAnsiTheme="majorHAnsi" w:cstheme="majorHAnsi"/>
          <w:color w:val="auto"/>
          <w:sz w:val="20"/>
          <w:szCs w:val="18"/>
        </w:rPr>
        <w:t xml:space="preserve"> there will be more "gates" to engagement. In addition, it feels redundant in its intent given the programmatic approach which has been proposed by Ofgem, aims to ensure challenge-led initiatives across network operators with a coordinated oversight</w:t>
      </w:r>
      <w:r w:rsidR="008130CE">
        <w:rPr>
          <w:rFonts w:asciiTheme="majorHAnsi" w:hAnsiTheme="majorHAnsi" w:cstheme="majorHAnsi"/>
          <w:color w:val="auto"/>
          <w:sz w:val="20"/>
          <w:szCs w:val="18"/>
        </w:rPr>
        <w:t>.</w:t>
      </w:r>
    </w:p>
    <w:bookmarkEnd w:id="0"/>
    <w:p w14:paraId="50002295" w14:textId="77777777" w:rsidR="00370429" w:rsidRDefault="00370429" w:rsidP="00C44940">
      <w:pPr>
        <w:pStyle w:val="Default"/>
        <w:spacing w:before="120" w:after="120"/>
        <w:ind w:left="284"/>
        <w:rPr>
          <w:rFonts w:asciiTheme="majorHAnsi" w:hAnsiTheme="majorHAnsi" w:cstheme="majorHAnsi"/>
          <w:b/>
          <w:bCs/>
          <w:color w:val="000000" w:themeColor="text1"/>
          <w:sz w:val="20"/>
          <w:szCs w:val="18"/>
        </w:rPr>
      </w:pPr>
    </w:p>
    <w:p w14:paraId="01A4B74B" w14:textId="20F41CC3" w:rsidR="00A0245B" w:rsidRPr="00A0245B" w:rsidRDefault="00A0245B" w:rsidP="00C44940">
      <w:pPr>
        <w:pStyle w:val="Default"/>
        <w:spacing w:before="120" w:after="120"/>
        <w:ind w:left="284"/>
        <w:rPr>
          <w:rFonts w:asciiTheme="majorHAnsi" w:hAnsiTheme="majorHAnsi" w:cstheme="majorHAnsi"/>
          <w:b/>
          <w:bCs/>
          <w:color w:val="000000" w:themeColor="text1"/>
          <w:sz w:val="20"/>
          <w:szCs w:val="18"/>
        </w:rPr>
      </w:pPr>
      <w:r w:rsidRPr="00A0245B">
        <w:rPr>
          <w:rFonts w:asciiTheme="majorHAnsi" w:hAnsiTheme="majorHAnsi" w:cstheme="majorHAnsi"/>
          <w:b/>
          <w:bCs/>
          <w:color w:val="000000" w:themeColor="text1"/>
          <w:sz w:val="20"/>
          <w:szCs w:val="18"/>
        </w:rPr>
        <w:t xml:space="preserve">OVQ36. Do you agree with our position of not changing the Digitalisation licence condition? </w:t>
      </w:r>
    </w:p>
    <w:p w14:paraId="7CB927DE" w14:textId="502E66EE" w:rsidR="00E16879" w:rsidRPr="00E16879" w:rsidRDefault="00E16879" w:rsidP="00E16879">
      <w:pPr>
        <w:pStyle w:val="Default"/>
        <w:spacing w:before="120" w:after="120"/>
        <w:ind w:left="567"/>
        <w:rPr>
          <w:rFonts w:asciiTheme="majorHAnsi" w:hAnsiTheme="majorHAnsi" w:cstheme="majorHAnsi"/>
          <w:color w:val="000000" w:themeColor="text1"/>
          <w:sz w:val="20"/>
          <w:szCs w:val="18"/>
        </w:rPr>
      </w:pPr>
      <w:r w:rsidRPr="00370429">
        <w:rPr>
          <w:rFonts w:asciiTheme="majorHAnsi" w:hAnsiTheme="majorHAnsi" w:cstheme="majorHAnsi"/>
          <w:b/>
          <w:bCs/>
          <w:color w:val="000000" w:themeColor="text1"/>
          <w:sz w:val="20"/>
          <w:szCs w:val="18"/>
        </w:rPr>
        <w:t>Yes</w:t>
      </w:r>
      <w:r w:rsidRPr="00E16879">
        <w:rPr>
          <w:rFonts w:asciiTheme="majorHAnsi" w:hAnsiTheme="majorHAnsi" w:cstheme="majorHAnsi"/>
          <w:color w:val="000000" w:themeColor="text1"/>
          <w:sz w:val="20"/>
          <w:szCs w:val="18"/>
        </w:rPr>
        <w:t xml:space="preserve">, we believe it is an important condition. However, </w:t>
      </w:r>
      <w:r w:rsidR="00E079DA">
        <w:rPr>
          <w:rFonts w:asciiTheme="majorHAnsi" w:hAnsiTheme="majorHAnsi" w:cstheme="majorHAnsi"/>
          <w:color w:val="000000" w:themeColor="text1"/>
          <w:sz w:val="20"/>
          <w:szCs w:val="18"/>
        </w:rPr>
        <w:t xml:space="preserve">we believe that </w:t>
      </w:r>
      <w:r w:rsidRPr="00E16879">
        <w:rPr>
          <w:rFonts w:asciiTheme="majorHAnsi" w:hAnsiTheme="majorHAnsi" w:cstheme="majorHAnsi"/>
          <w:color w:val="000000" w:themeColor="text1"/>
          <w:sz w:val="20"/>
          <w:szCs w:val="18"/>
        </w:rPr>
        <w:t>the D</w:t>
      </w:r>
      <w:r w:rsidR="004A15D6">
        <w:rPr>
          <w:rFonts w:asciiTheme="majorHAnsi" w:hAnsiTheme="majorHAnsi" w:cstheme="majorHAnsi"/>
          <w:color w:val="000000" w:themeColor="text1"/>
          <w:sz w:val="20"/>
          <w:szCs w:val="18"/>
        </w:rPr>
        <w:t xml:space="preserve">ata </w:t>
      </w:r>
      <w:r w:rsidRPr="00E16879">
        <w:rPr>
          <w:rFonts w:asciiTheme="majorHAnsi" w:hAnsiTheme="majorHAnsi" w:cstheme="majorHAnsi"/>
          <w:color w:val="000000" w:themeColor="text1"/>
          <w:sz w:val="20"/>
          <w:szCs w:val="18"/>
        </w:rPr>
        <w:t>B</w:t>
      </w:r>
      <w:r w:rsidR="004A15D6">
        <w:rPr>
          <w:rFonts w:asciiTheme="majorHAnsi" w:hAnsiTheme="majorHAnsi" w:cstheme="majorHAnsi"/>
          <w:color w:val="000000" w:themeColor="text1"/>
          <w:sz w:val="20"/>
          <w:szCs w:val="18"/>
        </w:rPr>
        <w:t xml:space="preserve">est </w:t>
      </w:r>
      <w:r w:rsidRPr="00E16879">
        <w:rPr>
          <w:rFonts w:asciiTheme="majorHAnsi" w:hAnsiTheme="majorHAnsi" w:cstheme="majorHAnsi"/>
          <w:color w:val="000000" w:themeColor="text1"/>
          <w:sz w:val="20"/>
          <w:szCs w:val="18"/>
        </w:rPr>
        <w:t>P</w:t>
      </w:r>
      <w:r w:rsidR="004A15D6">
        <w:rPr>
          <w:rFonts w:asciiTheme="majorHAnsi" w:hAnsiTheme="majorHAnsi" w:cstheme="majorHAnsi"/>
          <w:color w:val="000000" w:themeColor="text1"/>
          <w:sz w:val="20"/>
          <w:szCs w:val="18"/>
        </w:rPr>
        <w:t>ractice</w:t>
      </w:r>
      <w:r w:rsidRPr="00E16879">
        <w:rPr>
          <w:rFonts w:asciiTheme="majorHAnsi" w:hAnsiTheme="majorHAnsi" w:cstheme="majorHAnsi"/>
          <w:color w:val="000000" w:themeColor="text1"/>
          <w:sz w:val="20"/>
          <w:szCs w:val="18"/>
        </w:rPr>
        <w:t xml:space="preserve"> </w:t>
      </w:r>
      <w:r w:rsidR="00195738">
        <w:rPr>
          <w:rFonts w:asciiTheme="majorHAnsi" w:hAnsiTheme="majorHAnsi" w:cstheme="majorHAnsi"/>
          <w:color w:val="000000" w:themeColor="text1"/>
          <w:sz w:val="20"/>
          <w:szCs w:val="18"/>
        </w:rPr>
        <w:t xml:space="preserve">Guidance </w:t>
      </w:r>
      <w:r w:rsidRPr="00E16879">
        <w:rPr>
          <w:rFonts w:asciiTheme="majorHAnsi" w:hAnsiTheme="majorHAnsi" w:cstheme="majorHAnsi"/>
          <w:color w:val="000000" w:themeColor="text1"/>
          <w:sz w:val="20"/>
          <w:szCs w:val="18"/>
        </w:rPr>
        <w:t xml:space="preserve">should be </w:t>
      </w:r>
      <w:r w:rsidRPr="004E12AC">
        <w:rPr>
          <w:rFonts w:asciiTheme="majorHAnsi" w:hAnsiTheme="majorHAnsi" w:cstheme="majorHAnsi"/>
          <w:b/>
          <w:bCs/>
          <w:color w:val="000000" w:themeColor="text1"/>
          <w:sz w:val="20"/>
          <w:szCs w:val="18"/>
        </w:rPr>
        <w:t>updated in terms of its requirements</w:t>
      </w:r>
      <w:r w:rsidRPr="00E16879">
        <w:rPr>
          <w:rFonts w:asciiTheme="majorHAnsi" w:hAnsiTheme="majorHAnsi" w:cstheme="majorHAnsi"/>
          <w:color w:val="000000" w:themeColor="text1"/>
          <w:sz w:val="20"/>
          <w:szCs w:val="18"/>
        </w:rPr>
        <w:t xml:space="preserve">, e.g. </w:t>
      </w:r>
      <w:r w:rsidR="00E079DA">
        <w:rPr>
          <w:rFonts w:asciiTheme="majorHAnsi" w:hAnsiTheme="majorHAnsi" w:cstheme="majorHAnsi"/>
          <w:color w:val="000000" w:themeColor="text1"/>
          <w:sz w:val="20"/>
          <w:szCs w:val="18"/>
        </w:rPr>
        <w:t xml:space="preserve">for </w:t>
      </w:r>
      <w:r w:rsidRPr="00E16879">
        <w:rPr>
          <w:rFonts w:asciiTheme="majorHAnsi" w:hAnsiTheme="majorHAnsi" w:cstheme="majorHAnsi"/>
          <w:color w:val="000000" w:themeColor="text1"/>
          <w:sz w:val="20"/>
          <w:szCs w:val="18"/>
        </w:rPr>
        <w:t xml:space="preserve">Risk </w:t>
      </w:r>
      <w:r w:rsidR="00E079DA">
        <w:rPr>
          <w:rFonts w:asciiTheme="majorHAnsi" w:hAnsiTheme="majorHAnsi" w:cstheme="majorHAnsi"/>
          <w:color w:val="000000" w:themeColor="text1"/>
          <w:sz w:val="20"/>
          <w:szCs w:val="18"/>
        </w:rPr>
        <w:t xml:space="preserve">we would question whether </w:t>
      </w:r>
      <w:r w:rsidR="00E079DA" w:rsidRPr="00E16879">
        <w:rPr>
          <w:rFonts w:asciiTheme="majorHAnsi" w:hAnsiTheme="majorHAnsi" w:cstheme="majorHAnsi"/>
          <w:color w:val="000000" w:themeColor="text1"/>
          <w:sz w:val="20"/>
          <w:szCs w:val="18"/>
        </w:rPr>
        <w:t xml:space="preserve">the risk mitigation steps </w:t>
      </w:r>
      <w:r w:rsidR="00E079DA">
        <w:rPr>
          <w:rFonts w:asciiTheme="majorHAnsi" w:hAnsiTheme="majorHAnsi" w:cstheme="majorHAnsi"/>
          <w:color w:val="000000" w:themeColor="text1"/>
          <w:sz w:val="20"/>
          <w:szCs w:val="18"/>
        </w:rPr>
        <w:t xml:space="preserve">are </w:t>
      </w:r>
      <w:r w:rsidR="00E079DA" w:rsidRPr="00E16879">
        <w:rPr>
          <w:rFonts w:asciiTheme="majorHAnsi" w:hAnsiTheme="majorHAnsi" w:cstheme="majorHAnsi"/>
          <w:color w:val="000000" w:themeColor="text1"/>
          <w:sz w:val="20"/>
          <w:szCs w:val="18"/>
        </w:rPr>
        <w:t>still effective</w:t>
      </w:r>
      <w:r w:rsidR="00E079DA">
        <w:rPr>
          <w:rFonts w:asciiTheme="majorHAnsi" w:hAnsiTheme="majorHAnsi" w:cstheme="majorHAnsi"/>
          <w:color w:val="000000" w:themeColor="text1"/>
          <w:sz w:val="20"/>
          <w:szCs w:val="18"/>
        </w:rPr>
        <w:t xml:space="preserve">, </w:t>
      </w:r>
      <w:r w:rsidRPr="00E16879">
        <w:rPr>
          <w:rFonts w:asciiTheme="majorHAnsi" w:hAnsiTheme="majorHAnsi" w:cstheme="majorHAnsi"/>
          <w:color w:val="000000" w:themeColor="text1"/>
          <w:sz w:val="20"/>
          <w:szCs w:val="18"/>
        </w:rPr>
        <w:t>given the availability of diverse data</w:t>
      </w:r>
      <w:r w:rsidR="00E079DA">
        <w:rPr>
          <w:rFonts w:asciiTheme="majorHAnsi" w:hAnsiTheme="majorHAnsi" w:cstheme="majorHAnsi"/>
          <w:color w:val="000000" w:themeColor="text1"/>
          <w:sz w:val="20"/>
          <w:szCs w:val="18"/>
        </w:rPr>
        <w:t>,</w:t>
      </w:r>
      <w:r w:rsidRPr="00E16879">
        <w:rPr>
          <w:rFonts w:asciiTheme="majorHAnsi" w:hAnsiTheme="majorHAnsi" w:cstheme="majorHAnsi"/>
          <w:color w:val="000000" w:themeColor="text1"/>
          <w:sz w:val="20"/>
          <w:szCs w:val="18"/>
        </w:rPr>
        <w:t xml:space="preserve"> reverse engineering analysis or integrating sensitised data towards breaching security, privacy and/or control. </w:t>
      </w:r>
    </w:p>
    <w:p w14:paraId="114322A4" w14:textId="77777777" w:rsidR="00A0245B" w:rsidRPr="00A0245B" w:rsidRDefault="00A0245B" w:rsidP="00C44940">
      <w:pPr>
        <w:pStyle w:val="Default"/>
        <w:spacing w:before="120" w:after="120"/>
        <w:ind w:left="284"/>
        <w:rPr>
          <w:rFonts w:asciiTheme="majorHAnsi" w:hAnsiTheme="majorHAnsi" w:cstheme="majorHAnsi"/>
          <w:color w:val="000000" w:themeColor="text1"/>
          <w:sz w:val="20"/>
          <w:szCs w:val="18"/>
        </w:rPr>
      </w:pPr>
    </w:p>
    <w:p w14:paraId="6D9BF8E1" w14:textId="77777777" w:rsidR="00A0245B" w:rsidRPr="00A0245B" w:rsidRDefault="00A0245B" w:rsidP="00C44940">
      <w:pPr>
        <w:pStyle w:val="Default"/>
        <w:spacing w:before="120" w:after="120"/>
        <w:ind w:left="284"/>
        <w:rPr>
          <w:rFonts w:asciiTheme="majorHAnsi" w:hAnsiTheme="majorHAnsi" w:cstheme="majorHAnsi"/>
          <w:b/>
          <w:bCs/>
          <w:color w:val="000000" w:themeColor="text1"/>
          <w:sz w:val="20"/>
          <w:szCs w:val="18"/>
        </w:rPr>
      </w:pPr>
      <w:r w:rsidRPr="00A0245B">
        <w:rPr>
          <w:rFonts w:asciiTheme="majorHAnsi" w:hAnsiTheme="majorHAnsi" w:cstheme="majorHAnsi"/>
          <w:b/>
          <w:bCs/>
          <w:color w:val="000000" w:themeColor="text1"/>
          <w:sz w:val="20"/>
          <w:szCs w:val="18"/>
        </w:rPr>
        <w:t xml:space="preserve">OVQ37. Do you agree with our proposed approach to the DSI licence condition? </w:t>
      </w:r>
    </w:p>
    <w:p w14:paraId="5809F194" w14:textId="79826BCF" w:rsidR="00E16879" w:rsidRDefault="00BA31C2" w:rsidP="00E16879">
      <w:pPr>
        <w:pStyle w:val="Default"/>
        <w:spacing w:before="120" w:after="120"/>
        <w:ind w:left="568"/>
        <w:rPr>
          <w:rFonts w:asciiTheme="majorHAnsi" w:hAnsiTheme="majorHAnsi" w:cstheme="majorHAnsi"/>
          <w:color w:val="000000" w:themeColor="text1"/>
          <w:sz w:val="20"/>
          <w:szCs w:val="18"/>
        </w:rPr>
      </w:pPr>
      <w:r w:rsidRPr="004E12AC">
        <w:rPr>
          <w:rFonts w:asciiTheme="majorHAnsi" w:hAnsiTheme="majorHAnsi" w:cstheme="majorHAnsi"/>
          <w:b/>
          <w:bCs/>
          <w:color w:val="000000" w:themeColor="text1"/>
          <w:sz w:val="20"/>
          <w:szCs w:val="18"/>
        </w:rPr>
        <w:t>Yes-But</w:t>
      </w:r>
      <w:r>
        <w:rPr>
          <w:rFonts w:asciiTheme="majorHAnsi" w:hAnsiTheme="majorHAnsi" w:cstheme="majorHAnsi"/>
          <w:color w:val="000000" w:themeColor="text1"/>
          <w:sz w:val="20"/>
          <w:szCs w:val="18"/>
        </w:rPr>
        <w:t>. Yes, t</w:t>
      </w:r>
      <w:r w:rsidR="00E16879" w:rsidRPr="00E16879">
        <w:rPr>
          <w:rFonts w:asciiTheme="majorHAnsi" w:hAnsiTheme="majorHAnsi" w:cstheme="majorHAnsi"/>
          <w:color w:val="000000" w:themeColor="text1"/>
          <w:sz w:val="20"/>
          <w:szCs w:val="18"/>
        </w:rPr>
        <w:t>he DSI is a strategic initiative aligned with R</w:t>
      </w:r>
      <w:r w:rsidR="004A15D6">
        <w:rPr>
          <w:rFonts w:asciiTheme="majorHAnsi" w:hAnsiTheme="majorHAnsi" w:cstheme="majorHAnsi"/>
          <w:color w:val="000000" w:themeColor="text1"/>
          <w:sz w:val="20"/>
          <w:szCs w:val="18"/>
        </w:rPr>
        <w:t xml:space="preserve">egional </w:t>
      </w:r>
      <w:r w:rsidR="00E16879" w:rsidRPr="00E16879">
        <w:rPr>
          <w:rFonts w:asciiTheme="majorHAnsi" w:hAnsiTheme="majorHAnsi" w:cstheme="majorHAnsi"/>
          <w:color w:val="000000" w:themeColor="text1"/>
          <w:sz w:val="20"/>
          <w:szCs w:val="18"/>
        </w:rPr>
        <w:t>E</w:t>
      </w:r>
      <w:r w:rsidR="004A15D6">
        <w:rPr>
          <w:rFonts w:asciiTheme="majorHAnsi" w:hAnsiTheme="majorHAnsi" w:cstheme="majorHAnsi"/>
          <w:color w:val="000000" w:themeColor="text1"/>
          <w:sz w:val="20"/>
          <w:szCs w:val="18"/>
        </w:rPr>
        <w:t xml:space="preserve">nergy </w:t>
      </w:r>
      <w:r w:rsidR="00195738" w:rsidRPr="00E16879">
        <w:rPr>
          <w:rFonts w:asciiTheme="majorHAnsi" w:hAnsiTheme="majorHAnsi" w:cstheme="majorHAnsi"/>
          <w:color w:val="000000" w:themeColor="text1"/>
          <w:sz w:val="20"/>
          <w:szCs w:val="18"/>
        </w:rPr>
        <w:t>S</w:t>
      </w:r>
      <w:r w:rsidR="00195738">
        <w:rPr>
          <w:rFonts w:asciiTheme="majorHAnsi" w:hAnsiTheme="majorHAnsi" w:cstheme="majorHAnsi"/>
          <w:color w:val="000000" w:themeColor="text1"/>
          <w:sz w:val="20"/>
          <w:szCs w:val="18"/>
        </w:rPr>
        <w:t xml:space="preserve">trategic </w:t>
      </w:r>
      <w:r w:rsidR="00E16879" w:rsidRPr="00E16879">
        <w:rPr>
          <w:rFonts w:asciiTheme="majorHAnsi" w:hAnsiTheme="majorHAnsi" w:cstheme="majorHAnsi"/>
          <w:color w:val="000000" w:themeColor="text1"/>
          <w:sz w:val="20"/>
          <w:szCs w:val="18"/>
        </w:rPr>
        <w:t>P</w:t>
      </w:r>
      <w:r w:rsidR="004A15D6">
        <w:rPr>
          <w:rFonts w:asciiTheme="majorHAnsi" w:hAnsiTheme="majorHAnsi" w:cstheme="majorHAnsi"/>
          <w:color w:val="000000" w:themeColor="text1"/>
          <w:sz w:val="20"/>
          <w:szCs w:val="18"/>
        </w:rPr>
        <w:t>lan (RESP)</w:t>
      </w:r>
      <w:r w:rsidR="00E16879" w:rsidRPr="00E16879">
        <w:rPr>
          <w:rFonts w:asciiTheme="majorHAnsi" w:hAnsiTheme="majorHAnsi" w:cstheme="majorHAnsi"/>
          <w:color w:val="000000" w:themeColor="text1"/>
          <w:sz w:val="20"/>
          <w:szCs w:val="18"/>
        </w:rPr>
        <w:t xml:space="preserve"> and accelerating the integration of enabling digital services and technologies. </w:t>
      </w:r>
      <w:r>
        <w:rPr>
          <w:rFonts w:asciiTheme="majorHAnsi" w:hAnsiTheme="majorHAnsi" w:cstheme="majorHAnsi"/>
          <w:color w:val="000000" w:themeColor="text1"/>
          <w:sz w:val="20"/>
          <w:szCs w:val="18"/>
        </w:rPr>
        <w:t>But</w:t>
      </w:r>
      <w:r w:rsidR="00E16879" w:rsidRPr="00E16879">
        <w:rPr>
          <w:rFonts w:asciiTheme="majorHAnsi" w:hAnsiTheme="majorHAnsi" w:cstheme="majorHAnsi"/>
          <w:color w:val="000000" w:themeColor="text1"/>
          <w:sz w:val="20"/>
          <w:szCs w:val="18"/>
        </w:rPr>
        <w:t xml:space="preserve">, </w:t>
      </w:r>
      <w:r w:rsidR="004E12AC">
        <w:rPr>
          <w:rFonts w:asciiTheme="majorHAnsi" w:hAnsiTheme="majorHAnsi" w:cstheme="majorHAnsi"/>
          <w:color w:val="000000" w:themeColor="text1"/>
          <w:sz w:val="20"/>
          <w:szCs w:val="18"/>
        </w:rPr>
        <w:t xml:space="preserve">we would add that </w:t>
      </w:r>
      <w:r w:rsidR="00E16879" w:rsidRPr="00E16879">
        <w:rPr>
          <w:rFonts w:asciiTheme="majorHAnsi" w:hAnsiTheme="majorHAnsi" w:cstheme="majorHAnsi"/>
          <w:color w:val="000000" w:themeColor="text1"/>
          <w:sz w:val="20"/>
          <w:szCs w:val="18"/>
        </w:rPr>
        <w:t xml:space="preserve">the interoperability and standardisation requirements should be </w:t>
      </w:r>
      <w:r w:rsidR="00E16879" w:rsidRPr="00E16879">
        <w:rPr>
          <w:rFonts w:asciiTheme="majorHAnsi" w:hAnsiTheme="majorHAnsi" w:cstheme="majorHAnsi"/>
          <w:b/>
          <w:bCs/>
          <w:color w:val="000000" w:themeColor="text1"/>
          <w:sz w:val="20"/>
          <w:szCs w:val="18"/>
        </w:rPr>
        <w:t xml:space="preserve">led by an agency with experience and </w:t>
      </w:r>
      <w:r w:rsidR="00E16879" w:rsidRPr="00E16879">
        <w:rPr>
          <w:rFonts w:asciiTheme="majorHAnsi" w:hAnsiTheme="majorHAnsi" w:cstheme="majorHAnsi"/>
          <w:b/>
          <w:bCs/>
          <w:color w:val="000000" w:themeColor="text1"/>
          <w:sz w:val="20"/>
          <w:szCs w:val="18"/>
        </w:rPr>
        <w:lastRenderedPageBreak/>
        <w:t>independence</w:t>
      </w:r>
      <w:r w:rsidR="00E16879" w:rsidRPr="00E16879">
        <w:rPr>
          <w:rFonts w:asciiTheme="majorHAnsi" w:hAnsiTheme="majorHAnsi" w:cstheme="majorHAnsi"/>
          <w:color w:val="000000" w:themeColor="text1"/>
          <w:sz w:val="20"/>
          <w:szCs w:val="18"/>
        </w:rPr>
        <w:t xml:space="preserve"> in terms of secure data management and information architectures (e.g. NPSA, NCSC). It is integral to design</w:t>
      </w:r>
      <w:r w:rsidR="00E079DA">
        <w:rPr>
          <w:rFonts w:asciiTheme="majorHAnsi" w:hAnsiTheme="majorHAnsi" w:cstheme="majorHAnsi"/>
          <w:color w:val="000000" w:themeColor="text1"/>
          <w:sz w:val="20"/>
          <w:szCs w:val="18"/>
        </w:rPr>
        <w:t>-in</w:t>
      </w:r>
      <w:r w:rsidR="00E16879" w:rsidRPr="00E16879">
        <w:rPr>
          <w:rFonts w:asciiTheme="majorHAnsi" w:hAnsiTheme="majorHAnsi" w:cstheme="majorHAnsi"/>
          <w:color w:val="000000" w:themeColor="text1"/>
          <w:sz w:val="20"/>
          <w:szCs w:val="18"/>
        </w:rPr>
        <w:t xml:space="preserve"> security from the outset and to fully resource it across both cybersecurity and D</w:t>
      </w:r>
      <w:r w:rsidR="00195738">
        <w:rPr>
          <w:rFonts w:asciiTheme="majorHAnsi" w:hAnsiTheme="majorHAnsi" w:cstheme="majorHAnsi"/>
          <w:color w:val="000000" w:themeColor="text1"/>
          <w:sz w:val="20"/>
          <w:szCs w:val="18"/>
        </w:rPr>
        <w:t xml:space="preserve">ata and </w:t>
      </w:r>
      <w:r w:rsidR="00E16879" w:rsidRPr="00E16879">
        <w:rPr>
          <w:rFonts w:asciiTheme="majorHAnsi" w:hAnsiTheme="majorHAnsi" w:cstheme="majorHAnsi"/>
          <w:color w:val="000000" w:themeColor="text1"/>
          <w:sz w:val="20"/>
          <w:szCs w:val="18"/>
        </w:rPr>
        <w:t>D</w:t>
      </w:r>
      <w:r w:rsidR="00195738">
        <w:rPr>
          <w:rFonts w:asciiTheme="majorHAnsi" w:hAnsiTheme="majorHAnsi" w:cstheme="majorHAnsi"/>
          <w:color w:val="000000" w:themeColor="text1"/>
          <w:sz w:val="20"/>
          <w:szCs w:val="18"/>
        </w:rPr>
        <w:t>igitalisation</w:t>
      </w:r>
      <w:r w:rsidR="00E16879" w:rsidRPr="00E16879">
        <w:rPr>
          <w:rFonts w:asciiTheme="majorHAnsi" w:hAnsiTheme="majorHAnsi" w:cstheme="majorHAnsi"/>
          <w:color w:val="000000" w:themeColor="text1"/>
          <w:sz w:val="20"/>
          <w:szCs w:val="18"/>
        </w:rPr>
        <w:t xml:space="preserve"> investments. </w:t>
      </w:r>
    </w:p>
    <w:p w14:paraId="149BE078" w14:textId="77777777" w:rsidR="005149D7" w:rsidRPr="00E16879" w:rsidRDefault="005149D7" w:rsidP="00E16879">
      <w:pPr>
        <w:pStyle w:val="Default"/>
        <w:spacing w:before="120" w:after="120"/>
        <w:ind w:left="568"/>
        <w:rPr>
          <w:rFonts w:asciiTheme="majorHAnsi" w:hAnsiTheme="majorHAnsi" w:cstheme="majorHAnsi"/>
          <w:color w:val="000000" w:themeColor="text1"/>
          <w:sz w:val="20"/>
          <w:szCs w:val="18"/>
        </w:rPr>
      </w:pPr>
    </w:p>
    <w:p w14:paraId="266FC2F5" w14:textId="394306E3" w:rsidR="00A0245B" w:rsidRPr="00072C0B" w:rsidRDefault="00A0245B" w:rsidP="00195B71">
      <w:pPr>
        <w:ind w:left="284"/>
        <w:rPr>
          <w:rFonts w:asciiTheme="majorHAnsi" w:hAnsiTheme="majorHAnsi"/>
          <w:b/>
          <w:sz w:val="20"/>
          <w:szCs w:val="20"/>
        </w:rPr>
      </w:pPr>
      <w:r w:rsidRPr="00072C0B">
        <w:rPr>
          <w:rFonts w:asciiTheme="majorHAnsi" w:hAnsiTheme="majorHAnsi"/>
          <w:b/>
          <w:sz w:val="20"/>
          <w:szCs w:val="20"/>
        </w:rPr>
        <w:t>OVQ38. Do you agree with our proposed design of the Digitalisation re-opener?</w:t>
      </w:r>
    </w:p>
    <w:p w14:paraId="11C43FD9" w14:textId="12D344FE" w:rsidR="002D4B23" w:rsidRDefault="00BA31C2" w:rsidP="00BA31C2">
      <w:pPr>
        <w:pStyle w:val="Default"/>
        <w:spacing w:before="120" w:after="120"/>
        <w:ind w:left="567"/>
        <w:rPr>
          <w:rFonts w:asciiTheme="majorHAnsi" w:hAnsiTheme="majorHAnsi" w:cstheme="majorHAnsi"/>
          <w:color w:val="000000" w:themeColor="text1"/>
          <w:sz w:val="20"/>
          <w:szCs w:val="18"/>
        </w:rPr>
      </w:pPr>
      <w:r w:rsidRPr="00BA31C2">
        <w:rPr>
          <w:rFonts w:asciiTheme="majorHAnsi" w:hAnsiTheme="majorHAnsi" w:cstheme="majorHAnsi"/>
          <w:color w:val="000000" w:themeColor="text1"/>
          <w:sz w:val="20"/>
          <w:szCs w:val="18"/>
        </w:rPr>
        <w:t xml:space="preserve">We </w:t>
      </w:r>
      <w:r w:rsidRPr="004E12AC">
        <w:rPr>
          <w:rFonts w:asciiTheme="majorHAnsi" w:hAnsiTheme="majorHAnsi" w:cstheme="majorHAnsi"/>
          <w:b/>
          <w:bCs/>
          <w:color w:val="000000" w:themeColor="text1"/>
          <w:sz w:val="20"/>
          <w:szCs w:val="18"/>
        </w:rPr>
        <w:t>do not believe that one reopener is sufficient</w:t>
      </w:r>
      <w:r w:rsidRPr="00BA31C2">
        <w:rPr>
          <w:rFonts w:asciiTheme="majorHAnsi" w:hAnsiTheme="majorHAnsi" w:cstheme="majorHAnsi"/>
          <w:color w:val="000000" w:themeColor="text1"/>
          <w:sz w:val="20"/>
          <w:szCs w:val="18"/>
        </w:rPr>
        <w:t xml:space="preserve">, given the need for Cadent to be responsive </w:t>
      </w:r>
      <w:r w:rsidR="009270E1">
        <w:rPr>
          <w:rFonts w:asciiTheme="majorHAnsi" w:hAnsiTheme="majorHAnsi" w:cstheme="majorHAnsi"/>
          <w:color w:val="000000" w:themeColor="text1"/>
          <w:sz w:val="20"/>
          <w:szCs w:val="18"/>
        </w:rPr>
        <w:t>to</w:t>
      </w:r>
      <w:r w:rsidRPr="00BA31C2">
        <w:rPr>
          <w:rFonts w:asciiTheme="majorHAnsi" w:hAnsiTheme="majorHAnsi" w:cstheme="majorHAnsi"/>
          <w:color w:val="000000" w:themeColor="text1"/>
          <w:sz w:val="20"/>
          <w:szCs w:val="18"/>
        </w:rPr>
        <w:t xml:space="preserve"> emergent and collaborative learning with NESO, NDTP and other operators. New integration architecture standards are being created and it is vital to enable update, adaption or adoption of new requirements and enabling technologies</w:t>
      </w:r>
      <w:r>
        <w:rPr>
          <w:rFonts w:asciiTheme="majorHAnsi" w:hAnsiTheme="majorHAnsi" w:cstheme="majorHAnsi"/>
          <w:color w:val="000000" w:themeColor="text1"/>
          <w:sz w:val="20"/>
          <w:szCs w:val="18"/>
        </w:rPr>
        <w:t>.</w:t>
      </w:r>
    </w:p>
    <w:p w14:paraId="660DAD85" w14:textId="77777777" w:rsidR="00BA31C2" w:rsidRDefault="00BA31C2" w:rsidP="00BA31C2">
      <w:pPr>
        <w:pStyle w:val="Default"/>
        <w:spacing w:before="120" w:after="120"/>
        <w:ind w:left="567"/>
        <w:rPr>
          <w:b/>
          <w:bCs/>
          <w:color w:val="000000" w:themeColor="text1"/>
          <w:szCs w:val="20"/>
          <w:lang w:val="en-US"/>
        </w:rPr>
      </w:pPr>
    </w:p>
    <w:p w14:paraId="4093857D" w14:textId="78FB1E07" w:rsidR="007673CF" w:rsidRPr="00815810" w:rsidRDefault="0038639C" w:rsidP="0038639C">
      <w:pPr>
        <w:pStyle w:val="Default"/>
        <w:numPr>
          <w:ilvl w:val="0"/>
          <w:numId w:val="10"/>
        </w:numPr>
        <w:pBdr>
          <w:bottom w:val="single" w:sz="4" w:space="1" w:color="auto"/>
        </w:pBdr>
        <w:spacing w:after="120"/>
        <w:ind w:left="360"/>
        <w:rPr>
          <w:rFonts w:asciiTheme="minorHAnsi" w:hAnsiTheme="minorHAnsi" w:cstheme="minorBidi"/>
          <w:b/>
          <w:bCs/>
          <w:color w:val="000000" w:themeColor="text1"/>
          <w:sz w:val="22"/>
          <w:szCs w:val="20"/>
          <w:lang w:val="en-US" w:eastAsia="en-US"/>
        </w:rPr>
      </w:pPr>
      <w:r>
        <w:rPr>
          <w:rFonts w:asciiTheme="minorHAnsi" w:hAnsiTheme="minorHAnsi" w:cstheme="minorBidi"/>
          <w:b/>
          <w:bCs/>
          <w:color w:val="000000" w:themeColor="text1"/>
          <w:sz w:val="22"/>
          <w:szCs w:val="20"/>
          <w:lang w:val="en-US" w:eastAsia="en-US"/>
        </w:rPr>
        <w:t xml:space="preserve">Gas </w:t>
      </w:r>
      <w:r w:rsidR="007673CF">
        <w:rPr>
          <w:rFonts w:asciiTheme="minorHAnsi" w:hAnsiTheme="minorHAnsi" w:cstheme="minorBidi"/>
          <w:b/>
          <w:bCs/>
          <w:color w:val="000000" w:themeColor="text1"/>
          <w:sz w:val="22"/>
          <w:szCs w:val="20"/>
          <w:lang w:val="en-US" w:eastAsia="en-US"/>
        </w:rPr>
        <w:t>Sector</w:t>
      </w:r>
      <w:r w:rsidR="007673CF" w:rsidRPr="00815810">
        <w:rPr>
          <w:rFonts w:asciiTheme="minorHAnsi" w:hAnsiTheme="minorHAnsi" w:cstheme="minorBidi"/>
          <w:b/>
          <w:bCs/>
          <w:color w:val="000000" w:themeColor="text1"/>
          <w:sz w:val="22"/>
          <w:szCs w:val="20"/>
          <w:lang w:val="en-US" w:eastAsia="en-US"/>
        </w:rPr>
        <w:t xml:space="preserve"> </w:t>
      </w:r>
      <w:r w:rsidR="002D4B23">
        <w:rPr>
          <w:rFonts w:asciiTheme="minorHAnsi" w:hAnsiTheme="minorHAnsi" w:cstheme="minorBidi"/>
          <w:b/>
          <w:bCs/>
          <w:color w:val="000000" w:themeColor="text1"/>
          <w:sz w:val="22"/>
          <w:szCs w:val="20"/>
          <w:lang w:val="en-US" w:eastAsia="en-US"/>
        </w:rPr>
        <w:t xml:space="preserve">(GDN) </w:t>
      </w:r>
      <w:r w:rsidR="007673CF" w:rsidRPr="00815810">
        <w:rPr>
          <w:rFonts w:asciiTheme="minorHAnsi" w:hAnsiTheme="minorHAnsi" w:cstheme="minorBidi"/>
          <w:b/>
          <w:bCs/>
          <w:color w:val="000000" w:themeColor="text1"/>
          <w:sz w:val="22"/>
          <w:szCs w:val="20"/>
          <w:lang w:val="en-US" w:eastAsia="en-US"/>
        </w:rPr>
        <w:t>D</w:t>
      </w:r>
      <w:r>
        <w:rPr>
          <w:rFonts w:asciiTheme="minorHAnsi" w:hAnsiTheme="minorHAnsi" w:cstheme="minorBidi"/>
          <w:b/>
          <w:bCs/>
          <w:color w:val="000000" w:themeColor="text1"/>
          <w:sz w:val="22"/>
          <w:szCs w:val="20"/>
          <w:lang w:val="en-US" w:eastAsia="en-US"/>
        </w:rPr>
        <w:t>ocument</w:t>
      </w:r>
      <w:r w:rsidR="007673CF" w:rsidRPr="00815810">
        <w:rPr>
          <w:rFonts w:asciiTheme="minorHAnsi" w:hAnsiTheme="minorHAnsi" w:cstheme="minorBidi"/>
          <w:b/>
          <w:bCs/>
          <w:color w:val="000000" w:themeColor="text1"/>
          <w:sz w:val="22"/>
          <w:szCs w:val="20"/>
          <w:lang w:val="en-US" w:eastAsia="en-US"/>
        </w:rPr>
        <w:t xml:space="preserve"> Questions</w:t>
      </w:r>
    </w:p>
    <w:p w14:paraId="18CF38FC" w14:textId="77777777" w:rsidR="002D4B23" w:rsidRPr="009270E1" w:rsidRDefault="002D4B23" w:rsidP="002D4B23">
      <w:pPr>
        <w:spacing w:before="120" w:after="0"/>
        <w:ind w:left="284"/>
        <w:rPr>
          <w:rFonts w:asciiTheme="majorHAnsi" w:eastAsia="Times New Roman" w:hAnsiTheme="majorHAnsi" w:cstheme="majorHAnsi"/>
          <w:b/>
          <w:bCs/>
          <w:sz w:val="20"/>
          <w:szCs w:val="20"/>
        </w:rPr>
      </w:pPr>
      <w:r w:rsidRPr="009270E1">
        <w:rPr>
          <w:rFonts w:asciiTheme="majorHAnsi" w:eastAsia="Times New Roman" w:hAnsiTheme="majorHAnsi" w:cstheme="majorHAnsi"/>
          <w:b/>
          <w:bCs/>
          <w:sz w:val="20"/>
          <w:szCs w:val="20"/>
        </w:rPr>
        <w:t xml:space="preserve">GDQ1. Do you have any views on our proposed approach for the GD-specific environmental commitments, costs and targets? </w:t>
      </w:r>
    </w:p>
    <w:p w14:paraId="43B918B7" w14:textId="2D83A661" w:rsidR="00867EDE" w:rsidRDefault="009270E1" w:rsidP="002D4B23">
      <w:pPr>
        <w:spacing w:before="120" w:after="0"/>
        <w:ind w:left="567"/>
        <w:rPr>
          <w:rFonts w:asciiTheme="majorHAnsi" w:eastAsia="Times New Roman" w:hAnsiTheme="majorHAnsi" w:cstheme="majorHAnsi"/>
          <w:sz w:val="20"/>
          <w:szCs w:val="20"/>
        </w:rPr>
      </w:pPr>
      <w:r>
        <w:rPr>
          <w:rFonts w:asciiTheme="majorHAnsi" w:eastAsia="Times New Roman" w:hAnsiTheme="majorHAnsi" w:cstheme="majorHAnsi"/>
          <w:sz w:val="20"/>
          <w:szCs w:val="20"/>
        </w:rPr>
        <w:t>We</w:t>
      </w:r>
      <w:r w:rsidR="002D4B23" w:rsidRPr="002D4B23">
        <w:rPr>
          <w:rFonts w:asciiTheme="majorHAnsi" w:eastAsia="Times New Roman" w:hAnsiTheme="majorHAnsi" w:cstheme="majorHAnsi"/>
          <w:sz w:val="20"/>
          <w:szCs w:val="20"/>
        </w:rPr>
        <w:t xml:space="preserve"> support the </w:t>
      </w:r>
      <w:r w:rsidR="00461BFB">
        <w:rPr>
          <w:rFonts w:asciiTheme="majorHAnsi" w:eastAsia="Times New Roman" w:hAnsiTheme="majorHAnsi" w:cstheme="majorHAnsi"/>
          <w:sz w:val="20"/>
          <w:szCs w:val="20"/>
        </w:rPr>
        <w:t xml:space="preserve">request for a </w:t>
      </w:r>
      <w:r w:rsidR="002D4B23" w:rsidRPr="002D4B23">
        <w:rPr>
          <w:rFonts w:asciiTheme="majorHAnsi" w:eastAsia="Times New Roman" w:hAnsiTheme="majorHAnsi" w:cstheme="majorHAnsi"/>
          <w:sz w:val="20"/>
          <w:szCs w:val="20"/>
        </w:rPr>
        <w:t>consistent approach taken by GDNs to measure and report their Business Carbon Footprints (BCFs)</w:t>
      </w:r>
      <w:r w:rsidR="00867EDE">
        <w:rPr>
          <w:rFonts w:asciiTheme="majorHAnsi" w:eastAsia="Times New Roman" w:hAnsiTheme="majorHAnsi" w:cstheme="majorHAnsi"/>
          <w:sz w:val="20"/>
          <w:szCs w:val="20"/>
        </w:rPr>
        <w:t>, and have reviewed Cadent’s response</w:t>
      </w:r>
      <w:r w:rsidR="002D4B23" w:rsidRPr="002D4B23">
        <w:rPr>
          <w:rFonts w:asciiTheme="majorHAnsi" w:eastAsia="Times New Roman" w:hAnsiTheme="majorHAnsi" w:cstheme="majorHAnsi"/>
          <w:sz w:val="20"/>
          <w:szCs w:val="20"/>
        </w:rPr>
        <w:t>.</w:t>
      </w:r>
      <w:r w:rsidR="002D4B23">
        <w:rPr>
          <w:rFonts w:asciiTheme="majorHAnsi" w:eastAsia="Times New Roman" w:hAnsiTheme="majorHAnsi" w:cstheme="majorHAnsi"/>
          <w:sz w:val="20"/>
          <w:szCs w:val="20"/>
        </w:rPr>
        <w:t xml:space="preserve"> </w:t>
      </w:r>
    </w:p>
    <w:p w14:paraId="3A6B1B97" w14:textId="27E4CB79" w:rsidR="002D4B23" w:rsidRPr="002D4B23" w:rsidRDefault="002D4B23" w:rsidP="002D4B23">
      <w:pPr>
        <w:spacing w:before="120" w:after="0"/>
        <w:ind w:left="567"/>
        <w:rPr>
          <w:rFonts w:asciiTheme="majorHAnsi" w:eastAsia="Times New Roman" w:hAnsiTheme="majorHAnsi" w:cstheme="majorHAnsi"/>
          <w:sz w:val="20"/>
          <w:szCs w:val="20"/>
        </w:rPr>
      </w:pPr>
      <w:r>
        <w:rPr>
          <w:rFonts w:asciiTheme="majorHAnsi" w:eastAsia="Times New Roman" w:hAnsiTheme="majorHAnsi" w:cstheme="majorHAnsi"/>
          <w:sz w:val="20"/>
          <w:szCs w:val="20"/>
        </w:rPr>
        <w:t>However, w</w:t>
      </w:r>
      <w:r w:rsidRPr="002D4B23">
        <w:rPr>
          <w:rFonts w:asciiTheme="majorHAnsi" w:eastAsia="Times New Roman" w:hAnsiTheme="majorHAnsi" w:cstheme="majorHAnsi"/>
          <w:sz w:val="20"/>
          <w:szCs w:val="20"/>
        </w:rPr>
        <w:t xml:space="preserve">e would like to </w:t>
      </w:r>
      <w:r w:rsidRPr="00461BFB">
        <w:rPr>
          <w:rFonts w:asciiTheme="majorHAnsi" w:eastAsia="Times New Roman" w:hAnsiTheme="majorHAnsi" w:cstheme="majorHAnsi"/>
          <w:b/>
          <w:bCs/>
          <w:sz w:val="20"/>
          <w:szCs w:val="20"/>
        </w:rPr>
        <w:t>highlight three issues</w:t>
      </w:r>
      <w:r w:rsidRPr="002D4B23">
        <w:rPr>
          <w:rFonts w:asciiTheme="majorHAnsi" w:eastAsia="Times New Roman" w:hAnsiTheme="majorHAnsi" w:cstheme="majorHAnsi"/>
          <w:sz w:val="20"/>
          <w:szCs w:val="20"/>
        </w:rPr>
        <w:t>.  First</w:t>
      </w:r>
      <w:r w:rsidR="00461BFB">
        <w:rPr>
          <w:rFonts w:asciiTheme="majorHAnsi" w:eastAsia="Times New Roman" w:hAnsiTheme="majorHAnsi" w:cstheme="majorHAnsi"/>
          <w:sz w:val="20"/>
          <w:szCs w:val="20"/>
        </w:rPr>
        <w:t>ly</w:t>
      </w:r>
      <w:r w:rsidRPr="002D4B23">
        <w:rPr>
          <w:rFonts w:asciiTheme="majorHAnsi" w:eastAsia="Times New Roman" w:hAnsiTheme="majorHAnsi" w:cstheme="majorHAnsi"/>
          <w:sz w:val="20"/>
          <w:szCs w:val="20"/>
        </w:rPr>
        <w:t xml:space="preserve">, </w:t>
      </w:r>
      <w:r w:rsidR="004A15D6">
        <w:rPr>
          <w:rFonts w:asciiTheme="majorHAnsi" w:eastAsia="Times New Roman" w:hAnsiTheme="majorHAnsi" w:cstheme="majorHAnsi"/>
          <w:sz w:val="20"/>
          <w:szCs w:val="20"/>
        </w:rPr>
        <w:t>“</w:t>
      </w:r>
      <w:r w:rsidRPr="002D4B23">
        <w:rPr>
          <w:rFonts w:asciiTheme="majorHAnsi" w:eastAsia="Times New Roman" w:hAnsiTheme="majorHAnsi" w:cstheme="majorHAnsi"/>
          <w:sz w:val="20"/>
          <w:szCs w:val="20"/>
        </w:rPr>
        <w:t>total emissions</w:t>
      </w:r>
      <w:r w:rsidR="004A15D6">
        <w:rPr>
          <w:rFonts w:asciiTheme="majorHAnsi" w:eastAsia="Times New Roman" w:hAnsiTheme="majorHAnsi" w:cstheme="majorHAnsi"/>
          <w:sz w:val="20"/>
          <w:szCs w:val="20"/>
        </w:rPr>
        <w:t>”</w:t>
      </w:r>
      <w:r w:rsidRPr="002D4B23">
        <w:rPr>
          <w:rFonts w:asciiTheme="majorHAnsi" w:eastAsia="Times New Roman" w:hAnsiTheme="majorHAnsi" w:cstheme="majorHAnsi"/>
          <w:sz w:val="20"/>
          <w:szCs w:val="20"/>
        </w:rPr>
        <w:t xml:space="preserve"> is not a useful KPI for comparing the performance of each network as it does not reflect the size of each network. Emissions per customer and/or per pipe length would be more useful. Second</w:t>
      </w:r>
      <w:r w:rsidR="00461BFB">
        <w:rPr>
          <w:rFonts w:asciiTheme="majorHAnsi" w:eastAsia="Times New Roman" w:hAnsiTheme="majorHAnsi" w:cstheme="majorHAnsi"/>
          <w:sz w:val="20"/>
          <w:szCs w:val="20"/>
        </w:rPr>
        <w:t>ly</w:t>
      </w:r>
      <w:r w:rsidRPr="002D4B23">
        <w:rPr>
          <w:rFonts w:asciiTheme="majorHAnsi" w:eastAsia="Times New Roman" w:hAnsiTheme="majorHAnsi" w:cstheme="majorHAnsi"/>
          <w:sz w:val="20"/>
          <w:szCs w:val="20"/>
        </w:rPr>
        <w:t>, at least one GDN proposes using carbon offsetting to meet targets if necessary. This needs to be governed carefully to ensure the offsets are achieved</w:t>
      </w:r>
      <w:r w:rsidR="004A15D6">
        <w:rPr>
          <w:rFonts w:asciiTheme="majorHAnsi" w:eastAsia="Times New Roman" w:hAnsiTheme="majorHAnsi" w:cstheme="majorHAnsi"/>
          <w:sz w:val="20"/>
          <w:szCs w:val="20"/>
        </w:rPr>
        <w:t xml:space="preserve"> and we are not clear how this would be done</w:t>
      </w:r>
      <w:r w:rsidRPr="002D4B23">
        <w:rPr>
          <w:rFonts w:asciiTheme="majorHAnsi" w:eastAsia="Times New Roman" w:hAnsiTheme="majorHAnsi" w:cstheme="majorHAnsi"/>
          <w:sz w:val="20"/>
          <w:szCs w:val="20"/>
        </w:rPr>
        <w:t>. Third</w:t>
      </w:r>
      <w:r w:rsidR="00461BFB">
        <w:rPr>
          <w:rFonts w:asciiTheme="majorHAnsi" w:eastAsia="Times New Roman" w:hAnsiTheme="majorHAnsi" w:cstheme="majorHAnsi"/>
          <w:sz w:val="20"/>
          <w:szCs w:val="20"/>
        </w:rPr>
        <w:t>ly</w:t>
      </w:r>
      <w:r w:rsidRPr="002D4B23">
        <w:rPr>
          <w:rFonts w:asciiTheme="majorHAnsi" w:eastAsia="Times New Roman" w:hAnsiTheme="majorHAnsi" w:cstheme="majorHAnsi"/>
          <w:sz w:val="20"/>
          <w:szCs w:val="20"/>
        </w:rPr>
        <w:t>, the vast majority of GDN network GHG emissions are fugitive methane emissions from shrinkage, so these need to be reported and monitored carefully alongside the BCFs.</w:t>
      </w:r>
    </w:p>
    <w:p w14:paraId="52F9EEA5" w14:textId="77777777" w:rsidR="002D4B23" w:rsidRPr="002D4B23" w:rsidRDefault="002D4B23" w:rsidP="002D4B23">
      <w:pPr>
        <w:spacing w:before="120" w:after="0"/>
        <w:ind w:left="567"/>
        <w:rPr>
          <w:rFonts w:asciiTheme="majorHAnsi" w:eastAsia="Times New Roman" w:hAnsiTheme="majorHAnsi" w:cstheme="majorHAnsi"/>
          <w:sz w:val="20"/>
          <w:szCs w:val="20"/>
        </w:rPr>
      </w:pPr>
      <w:r w:rsidRPr="002D4B23">
        <w:rPr>
          <w:rFonts w:asciiTheme="majorHAnsi" w:eastAsia="Times New Roman" w:hAnsiTheme="majorHAnsi" w:cstheme="majorHAnsi"/>
          <w:sz w:val="20"/>
          <w:szCs w:val="20"/>
        </w:rPr>
        <w:t xml:space="preserve">On shrinkage, while Ofgem considers GDN targets to be appropriately stretching, additional targeted investment in pipe replacement that is informed by new leakage detection technologies could make a </w:t>
      </w:r>
      <w:r w:rsidRPr="00461BFB">
        <w:rPr>
          <w:rFonts w:asciiTheme="majorHAnsi" w:eastAsia="Times New Roman" w:hAnsiTheme="majorHAnsi" w:cstheme="majorHAnsi"/>
          <w:b/>
          <w:bCs/>
          <w:sz w:val="20"/>
          <w:szCs w:val="20"/>
        </w:rPr>
        <w:t>substantial further reduction in fugitive methane emissions</w:t>
      </w:r>
      <w:r w:rsidRPr="002D4B23">
        <w:rPr>
          <w:rFonts w:asciiTheme="majorHAnsi" w:eastAsia="Times New Roman" w:hAnsiTheme="majorHAnsi" w:cstheme="majorHAnsi"/>
          <w:sz w:val="20"/>
          <w:szCs w:val="20"/>
        </w:rPr>
        <w:t>. For this reason, we feel that Ofgem’s decision to reject Cadent’s Advanced Leakage Intervention programme is a missed opportunity (see question CADQ5).</w:t>
      </w:r>
    </w:p>
    <w:p w14:paraId="59450223" w14:textId="77777777" w:rsidR="002D4B23" w:rsidRPr="002D4B23" w:rsidRDefault="002D4B23" w:rsidP="002D4B23">
      <w:pPr>
        <w:spacing w:before="120" w:after="0"/>
        <w:ind w:left="567"/>
        <w:rPr>
          <w:rFonts w:asciiTheme="majorHAnsi" w:eastAsia="Times New Roman" w:hAnsiTheme="majorHAnsi" w:cstheme="majorHAnsi"/>
          <w:sz w:val="20"/>
          <w:szCs w:val="20"/>
        </w:rPr>
      </w:pPr>
    </w:p>
    <w:p w14:paraId="296BB20F" w14:textId="77777777" w:rsidR="002D4B23" w:rsidRPr="002D4B23" w:rsidRDefault="002D4B23" w:rsidP="002D4B23">
      <w:pPr>
        <w:spacing w:before="120" w:after="0"/>
        <w:ind w:left="284"/>
        <w:rPr>
          <w:rFonts w:asciiTheme="majorHAnsi" w:eastAsia="Times New Roman" w:hAnsiTheme="majorHAnsi" w:cstheme="majorHAnsi"/>
          <w:b/>
          <w:bCs/>
          <w:sz w:val="20"/>
          <w:szCs w:val="20"/>
        </w:rPr>
      </w:pPr>
      <w:r w:rsidRPr="002D4B23">
        <w:rPr>
          <w:rFonts w:asciiTheme="majorHAnsi" w:eastAsia="Times New Roman" w:hAnsiTheme="majorHAnsi" w:cstheme="majorHAnsi"/>
          <w:b/>
          <w:bCs/>
          <w:sz w:val="20"/>
          <w:szCs w:val="20"/>
        </w:rPr>
        <w:t xml:space="preserve">GDQ2. Do you have any views on our proposed funding for the DPLA and ALD? </w:t>
      </w:r>
    </w:p>
    <w:p w14:paraId="6626ED05" w14:textId="7F057EA0" w:rsidR="002D4B23" w:rsidRPr="002D4B23" w:rsidRDefault="002D4B23" w:rsidP="00461BFB">
      <w:pPr>
        <w:spacing w:before="120" w:after="0"/>
        <w:ind w:left="567"/>
        <w:rPr>
          <w:rFonts w:asciiTheme="majorHAnsi" w:eastAsia="Times New Roman" w:hAnsiTheme="majorHAnsi" w:cstheme="majorHAnsi"/>
          <w:sz w:val="20"/>
          <w:szCs w:val="20"/>
        </w:rPr>
      </w:pPr>
      <w:r w:rsidRPr="002D4B23">
        <w:rPr>
          <w:rFonts w:asciiTheme="majorHAnsi" w:eastAsia="Times New Roman" w:hAnsiTheme="majorHAnsi" w:cstheme="majorHAnsi"/>
          <w:sz w:val="20"/>
          <w:szCs w:val="20"/>
        </w:rPr>
        <w:t xml:space="preserve">We are pleased that Cadent’s programmes have been supported. Both of these programmes should make a major contribution to improving </w:t>
      </w:r>
      <w:r w:rsidR="009270E1">
        <w:rPr>
          <w:rFonts w:asciiTheme="majorHAnsi" w:eastAsia="Times New Roman" w:hAnsiTheme="majorHAnsi" w:cstheme="majorHAnsi"/>
          <w:sz w:val="20"/>
          <w:szCs w:val="20"/>
        </w:rPr>
        <w:t xml:space="preserve">both </w:t>
      </w:r>
      <w:r w:rsidRPr="002D4B23">
        <w:rPr>
          <w:rFonts w:asciiTheme="majorHAnsi" w:eastAsia="Times New Roman" w:hAnsiTheme="majorHAnsi" w:cstheme="majorHAnsi"/>
          <w:sz w:val="20"/>
          <w:szCs w:val="20"/>
        </w:rPr>
        <w:t>network safety and reducing emissions.</w:t>
      </w:r>
      <w:r w:rsidR="00461BFB">
        <w:rPr>
          <w:rFonts w:asciiTheme="majorHAnsi" w:eastAsia="Times New Roman" w:hAnsiTheme="majorHAnsi" w:cstheme="majorHAnsi"/>
          <w:sz w:val="20"/>
          <w:szCs w:val="20"/>
        </w:rPr>
        <w:t xml:space="preserve"> We would also note, that i</w:t>
      </w:r>
      <w:r w:rsidRPr="002D4B23">
        <w:rPr>
          <w:rFonts w:asciiTheme="majorHAnsi" w:eastAsia="Times New Roman" w:hAnsiTheme="majorHAnsi" w:cstheme="majorHAnsi"/>
          <w:sz w:val="20"/>
          <w:szCs w:val="20"/>
        </w:rPr>
        <w:t xml:space="preserve">t will be important to manage the </w:t>
      </w:r>
      <w:r w:rsidRPr="00461BFB">
        <w:rPr>
          <w:rFonts w:asciiTheme="majorHAnsi" w:eastAsia="Times New Roman" w:hAnsiTheme="majorHAnsi" w:cstheme="majorHAnsi"/>
          <w:b/>
          <w:bCs/>
          <w:sz w:val="20"/>
          <w:szCs w:val="20"/>
        </w:rPr>
        <w:t>impacts on Cadent’s workload</w:t>
      </w:r>
      <w:r w:rsidRPr="002D4B23">
        <w:rPr>
          <w:rFonts w:asciiTheme="majorHAnsi" w:eastAsia="Times New Roman" w:hAnsiTheme="majorHAnsi" w:cstheme="majorHAnsi"/>
          <w:sz w:val="20"/>
          <w:szCs w:val="20"/>
        </w:rPr>
        <w:t xml:space="preserve"> if the programmes identify substantially more leaks than current technologies</w:t>
      </w:r>
      <w:r w:rsidR="00461BFB">
        <w:rPr>
          <w:rFonts w:asciiTheme="majorHAnsi" w:eastAsia="Times New Roman" w:hAnsiTheme="majorHAnsi" w:cstheme="majorHAnsi"/>
          <w:sz w:val="20"/>
          <w:szCs w:val="20"/>
        </w:rPr>
        <w:t xml:space="preserve"> have indicated</w:t>
      </w:r>
      <w:r w:rsidRPr="002D4B23">
        <w:rPr>
          <w:rFonts w:asciiTheme="majorHAnsi" w:eastAsia="Times New Roman" w:hAnsiTheme="majorHAnsi" w:cstheme="majorHAnsi"/>
          <w:sz w:val="20"/>
          <w:szCs w:val="20"/>
        </w:rPr>
        <w:t>.</w:t>
      </w:r>
    </w:p>
    <w:p w14:paraId="3E15A055" w14:textId="77777777" w:rsidR="00461BFB" w:rsidRDefault="00461BFB" w:rsidP="002D4B23">
      <w:pPr>
        <w:spacing w:before="120" w:after="0"/>
        <w:ind w:left="567"/>
        <w:rPr>
          <w:rFonts w:asciiTheme="majorHAnsi" w:eastAsia="Times New Roman" w:hAnsiTheme="majorHAnsi" w:cstheme="majorHAnsi"/>
          <w:sz w:val="20"/>
          <w:szCs w:val="20"/>
        </w:rPr>
      </w:pPr>
    </w:p>
    <w:p w14:paraId="6764F69E" w14:textId="444CDCE8" w:rsidR="002D4B23" w:rsidRPr="00461BFB" w:rsidRDefault="002D4B23" w:rsidP="00461BFB">
      <w:pPr>
        <w:spacing w:before="120" w:after="0"/>
        <w:ind w:left="284"/>
        <w:rPr>
          <w:rFonts w:asciiTheme="majorHAnsi" w:eastAsia="Times New Roman" w:hAnsiTheme="majorHAnsi" w:cstheme="majorHAnsi"/>
          <w:b/>
          <w:bCs/>
          <w:sz w:val="20"/>
          <w:szCs w:val="20"/>
        </w:rPr>
      </w:pPr>
      <w:r w:rsidRPr="00461BFB">
        <w:rPr>
          <w:rFonts w:asciiTheme="majorHAnsi" w:eastAsia="Times New Roman" w:hAnsiTheme="majorHAnsi" w:cstheme="majorHAnsi"/>
          <w:b/>
          <w:bCs/>
          <w:sz w:val="20"/>
          <w:szCs w:val="20"/>
        </w:rPr>
        <w:t>GDQ4. Do you agree with our proposal to enable the GDNs to submit RESP coordination and engagement activities through NZARD and NZASP?</w:t>
      </w:r>
    </w:p>
    <w:p w14:paraId="26FA334E" w14:textId="4B6C8BC6" w:rsidR="002D4B23" w:rsidRPr="002D4B23" w:rsidRDefault="00867EDE" w:rsidP="002D4B23">
      <w:pPr>
        <w:spacing w:before="120" w:after="0"/>
        <w:ind w:left="567"/>
        <w:rPr>
          <w:rFonts w:asciiTheme="majorHAnsi" w:eastAsia="Times New Roman" w:hAnsiTheme="majorHAnsi" w:cstheme="majorHAnsi"/>
          <w:sz w:val="20"/>
          <w:szCs w:val="20"/>
        </w:rPr>
      </w:pPr>
      <w:r w:rsidRPr="00867EDE">
        <w:rPr>
          <w:rFonts w:asciiTheme="majorHAnsi" w:eastAsia="Times New Roman" w:hAnsiTheme="majorHAnsi" w:cstheme="majorHAnsi"/>
          <w:b/>
          <w:bCs/>
          <w:sz w:val="20"/>
          <w:szCs w:val="20"/>
        </w:rPr>
        <w:t>Yes-but.</w:t>
      </w:r>
      <w:r>
        <w:rPr>
          <w:rFonts w:asciiTheme="majorHAnsi" w:eastAsia="Times New Roman" w:hAnsiTheme="majorHAnsi" w:cstheme="majorHAnsi"/>
          <w:sz w:val="20"/>
          <w:szCs w:val="20"/>
        </w:rPr>
        <w:t xml:space="preserve"> Yes, it is important as </w:t>
      </w:r>
      <w:r w:rsidR="002D4B23" w:rsidRPr="002D4B23">
        <w:rPr>
          <w:rFonts w:asciiTheme="majorHAnsi" w:eastAsia="Times New Roman" w:hAnsiTheme="majorHAnsi" w:cstheme="majorHAnsi"/>
          <w:sz w:val="20"/>
          <w:szCs w:val="20"/>
        </w:rPr>
        <w:t xml:space="preserve">GDNs are required to engage with NESO to produce RESPs during the RIIO-3 period.  </w:t>
      </w:r>
      <w:r>
        <w:rPr>
          <w:rFonts w:asciiTheme="majorHAnsi" w:eastAsia="Times New Roman" w:hAnsiTheme="majorHAnsi" w:cstheme="majorHAnsi"/>
          <w:sz w:val="20"/>
          <w:szCs w:val="20"/>
        </w:rPr>
        <w:t>But funding, and flexibility of funding, will be required. I</w:t>
      </w:r>
      <w:r w:rsidR="002D4B23" w:rsidRPr="002D4B23">
        <w:rPr>
          <w:rFonts w:asciiTheme="majorHAnsi" w:eastAsia="Times New Roman" w:hAnsiTheme="majorHAnsi" w:cstheme="majorHAnsi"/>
          <w:sz w:val="20"/>
          <w:szCs w:val="20"/>
        </w:rPr>
        <w:t xml:space="preserve">t is disappointing that there </w:t>
      </w:r>
      <w:r w:rsidR="009270E1">
        <w:rPr>
          <w:rFonts w:asciiTheme="majorHAnsi" w:eastAsia="Times New Roman" w:hAnsiTheme="majorHAnsi" w:cstheme="majorHAnsi"/>
          <w:sz w:val="20"/>
          <w:szCs w:val="20"/>
        </w:rPr>
        <w:t>wa</w:t>
      </w:r>
      <w:r w:rsidR="002D4B23" w:rsidRPr="002D4B23">
        <w:rPr>
          <w:rFonts w:asciiTheme="majorHAnsi" w:eastAsia="Times New Roman" w:hAnsiTheme="majorHAnsi" w:cstheme="majorHAnsi"/>
          <w:sz w:val="20"/>
          <w:szCs w:val="20"/>
        </w:rPr>
        <w:t xml:space="preserve">s a lack of clarity about NESO’s requirements from GDNs for the development of RESPs prior to the RIIO-3 </w:t>
      </w:r>
      <w:r w:rsidR="009270E1">
        <w:rPr>
          <w:rFonts w:asciiTheme="majorHAnsi" w:eastAsia="Times New Roman" w:hAnsiTheme="majorHAnsi" w:cstheme="majorHAnsi"/>
          <w:sz w:val="20"/>
          <w:szCs w:val="20"/>
        </w:rPr>
        <w:t xml:space="preserve">draft </w:t>
      </w:r>
      <w:r w:rsidR="002D4B23" w:rsidRPr="002D4B23">
        <w:rPr>
          <w:rFonts w:asciiTheme="majorHAnsi" w:eastAsia="Times New Roman" w:hAnsiTheme="majorHAnsi" w:cstheme="majorHAnsi"/>
          <w:sz w:val="20"/>
          <w:szCs w:val="20"/>
        </w:rPr>
        <w:t xml:space="preserve">determination. As the scope of the GDN contributions is unclear, the funding required is </w:t>
      </w:r>
      <w:r w:rsidR="009270E1">
        <w:rPr>
          <w:rFonts w:asciiTheme="majorHAnsi" w:eastAsia="Times New Roman" w:hAnsiTheme="majorHAnsi" w:cstheme="majorHAnsi"/>
          <w:sz w:val="20"/>
          <w:szCs w:val="20"/>
        </w:rPr>
        <w:t xml:space="preserve">also </w:t>
      </w:r>
      <w:r w:rsidR="002D4B23" w:rsidRPr="002D4B23">
        <w:rPr>
          <w:rFonts w:asciiTheme="majorHAnsi" w:eastAsia="Times New Roman" w:hAnsiTheme="majorHAnsi" w:cstheme="majorHAnsi"/>
          <w:sz w:val="20"/>
          <w:szCs w:val="20"/>
        </w:rPr>
        <w:t xml:space="preserve">unclear and there </w:t>
      </w:r>
      <w:r w:rsidR="009270E1">
        <w:rPr>
          <w:rFonts w:asciiTheme="majorHAnsi" w:eastAsia="Times New Roman" w:hAnsiTheme="majorHAnsi" w:cstheme="majorHAnsi"/>
          <w:sz w:val="20"/>
          <w:szCs w:val="20"/>
        </w:rPr>
        <w:t xml:space="preserve">may </w:t>
      </w:r>
      <w:r w:rsidR="002D4B23" w:rsidRPr="002D4B23">
        <w:rPr>
          <w:rFonts w:asciiTheme="majorHAnsi" w:eastAsia="Times New Roman" w:hAnsiTheme="majorHAnsi" w:cstheme="majorHAnsi"/>
          <w:sz w:val="20"/>
          <w:szCs w:val="20"/>
        </w:rPr>
        <w:t>be a challenge to ensure value-for-money for consumers in any work carried out by GDNs to contribute to RESPs.</w:t>
      </w:r>
    </w:p>
    <w:p w14:paraId="678F0842" w14:textId="0F96FD0F" w:rsidR="002D4B23" w:rsidRPr="002D4B23" w:rsidRDefault="002D4B23" w:rsidP="002D4B23">
      <w:pPr>
        <w:spacing w:before="120" w:after="0"/>
        <w:ind w:left="567"/>
        <w:rPr>
          <w:rFonts w:asciiTheme="majorHAnsi" w:eastAsia="Times New Roman" w:hAnsiTheme="majorHAnsi" w:cstheme="majorHAnsi"/>
          <w:sz w:val="20"/>
          <w:szCs w:val="20"/>
        </w:rPr>
      </w:pPr>
      <w:r w:rsidRPr="002D4B23">
        <w:rPr>
          <w:rFonts w:asciiTheme="majorHAnsi" w:eastAsia="Times New Roman" w:hAnsiTheme="majorHAnsi" w:cstheme="majorHAnsi"/>
          <w:sz w:val="20"/>
          <w:szCs w:val="20"/>
        </w:rPr>
        <w:t xml:space="preserve">Nevertheless, </w:t>
      </w:r>
      <w:r w:rsidR="009270E1">
        <w:rPr>
          <w:rFonts w:asciiTheme="majorHAnsi" w:eastAsia="Times New Roman" w:hAnsiTheme="majorHAnsi" w:cstheme="majorHAnsi"/>
          <w:sz w:val="20"/>
          <w:szCs w:val="20"/>
        </w:rPr>
        <w:t xml:space="preserve">we </w:t>
      </w:r>
      <w:r w:rsidR="00F65AA4">
        <w:rPr>
          <w:rFonts w:asciiTheme="majorHAnsi" w:eastAsia="Times New Roman" w:hAnsiTheme="majorHAnsi" w:cstheme="majorHAnsi"/>
          <w:sz w:val="20"/>
          <w:szCs w:val="20"/>
        </w:rPr>
        <w:t>are unclear whether</w:t>
      </w:r>
      <w:r w:rsidRPr="002D4B23">
        <w:rPr>
          <w:rFonts w:asciiTheme="majorHAnsi" w:eastAsia="Times New Roman" w:hAnsiTheme="majorHAnsi" w:cstheme="majorHAnsi"/>
          <w:sz w:val="20"/>
          <w:szCs w:val="20"/>
        </w:rPr>
        <w:t xml:space="preserve"> NESO will not have the requisite models/skills for detailed GDN transition modelling in-house and will need to rely on the GDNs to provide these services.  These activities are likely to be substantial and they need to be funded appropriately.  </w:t>
      </w:r>
      <w:r w:rsidR="009270E1">
        <w:rPr>
          <w:rFonts w:asciiTheme="majorHAnsi" w:eastAsia="Times New Roman" w:hAnsiTheme="majorHAnsi" w:cstheme="majorHAnsi"/>
          <w:sz w:val="20"/>
          <w:szCs w:val="20"/>
        </w:rPr>
        <w:t>I</w:t>
      </w:r>
      <w:r w:rsidRPr="002D4B23">
        <w:rPr>
          <w:rFonts w:asciiTheme="majorHAnsi" w:eastAsia="Times New Roman" w:hAnsiTheme="majorHAnsi" w:cstheme="majorHAnsi"/>
          <w:sz w:val="20"/>
          <w:szCs w:val="20"/>
        </w:rPr>
        <w:t>deally</w:t>
      </w:r>
      <w:r w:rsidR="009270E1">
        <w:rPr>
          <w:rFonts w:asciiTheme="majorHAnsi" w:eastAsia="Times New Roman" w:hAnsiTheme="majorHAnsi" w:cstheme="majorHAnsi"/>
          <w:sz w:val="20"/>
          <w:szCs w:val="20"/>
        </w:rPr>
        <w:t xml:space="preserve"> these activities would</w:t>
      </w:r>
      <w:r w:rsidRPr="002D4B23">
        <w:rPr>
          <w:rFonts w:asciiTheme="majorHAnsi" w:eastAsia="Times New Roman" w:hAnsiTheme="majorHAnsi" w:cstheme="majorHAnsi"/>
          <w:sz w:val="20"/>
          <w:szCs w:val="20"/>
        </w:rPr>
        <w:t xml:space="preserve"> be included in </w:t>
      </w:r>
      <w:r w:rsidR="004A15D6">
        <w:rPr>
          <w:rFonts w:asciiTheme="majorHAnsi" w:eastAsia="Times New Roman" w:hAnsiTheme="majorHAnsi" w:cstheme="majorHAnsi"/>
          <w:sz w:val="20"/>
          <w:szCs w:val="20"/>
        </w:rPr>
        <w:lastRenderedPageBreak/>
        <w:t xml:space="preserve">RIIO3 </w:t>
      </w:r>
      <w:r w:rsidRPr="002D4B23">
        <w:rPr>
          <w:rFonts w:asciiTheme="majorHAnsi" w:eastAsia="Times New Roman" w:hAnsiTheme="majorHAnsi" w:cstheme="majorHAnsi"/>
          <w:sz w:val="20"/>
          <w:szCs w:val="20"/>
        </w:rPr>
        <w:t>base funding if the scope of the work were clear</w:t>
      </w:r>
      <w:r w:rsidR="00867EDE">
        <w:rPr>
          <w:rFonts w:asciiTheme="majorHAnsi" w:eastAsia="Times New Roman" w:hAnsiTheme="majorHAnsi" w:cstheme="majorHAnsi"/>
          <w:sz w:val="20"/>
          <w:szCs w:val="20"/>
        </w:rPr>
        <w:t>, but that is not the case today</w:t>
      </w:r>
      <w:r w:rsidRPr="002D4B23">
        <w:rPr>
          <w:rFonts w:asciiTheme="majorHAnsi" w:eastAsia="Times New Roman" w:hAnsiTheme="majorHAnsi" w:cstheme="majorHAnsi"/>
          <w:sz w:val="20"/>
          <w:szCs w:val="20"/>
        </w:rPr>
        <w:t xml:space="preserve">.  </w:t>
      </w:r>
      <w:r w:rsidR="00867EDE">
        <w:rPr>
          <w:rFonts w:asciiTheme="majorHAnsi" w:eastAsia="Times New Roman" w:hAnsiTheme="majorHAnsi" w:cstheme="majorHAnsi"/>
          <w:sz w:val="20"/>
          <w:szCs w:val="20"/>
        </w:rPr>
        <w:t xml:space="preserve">Instead, </w:t>
      </w:r>
      <w:r w:rsidRPr="002D4B23">
        <w:rPr>
          <w:rFonts w:asciiTheme="majorHAnsi" w:eastAsia="Times New Roman" w:hAnsiTheme="majorHAnsi" w:cstheme="majorHAnsi"/>
          <w:sz w:val="20"/>
          <w:szCs w:val="20"/>
        </w:rPr>
        <w:t>if they are funded through another route such as NZARD or NZASP, there is a need to:</w:t>
      </w:r>
    </w:p>
    <w:p w14:paraId="753CAC68" w14:textId="77777777" w:rsidR="002D4B23" w:rsidRPr="002D4B23" w:rsidRDefault="002D4B23" w:rsidP="00461BFB">
      <w:pPr>
        <w:pStyle w:val="ListParagraph"/>
        <w:numPr>
          <w:ilvl w:val="0"/>
          <w:numId w:val="20"/>
        </w:numPr>
        <w:spacing w:before="120" w:after="0" w:line="240" w:lineRule="auto"/>
        <w:contextualSpacing w:val="0"/>
        <w:rPr>
          <w:rFonts w:asciiTheme="majorHAnsi" w:eastAsia="Times New Roman" w:hAnsiTheme="majorHAnsi" w:cstheme="majorHAnsi"/>
          <w:sz w:val="20"/>
          <w:szCs w:val="20"/>
        </w:rPr>
      </w:pPr>
      <w:r w:rsidRPr="002D4B23">
        <w:rPr>
          <w:rFonts w:asciiTheme="majorHAnsi" w:eastAsia="Times New Roman" w:hAnsiTheme="majorHAnsi" w:cstheme="majorHAnsi"/>
          <w:sz w:val="20"/>
          <w:szCs w:val="20"/>
        </w:rPr>
        <w:t>add additional UIOLI funding to cover the activities;</w:t>
      </w:r>
    </w:p>
    <w:p w14:paraId="33AF0938" w14:textId="77777777" w:rsidR="002D4B23" w:rsidRPr="002D4B23" w:rsidRDefault="002D4B23" w:rsidP="00461BFB">
      <w:pPr>
        <w:pStyle w:val="ListParagraph"/>
        <w:numPr>
          <w:ilvl w:val="0"/>
          <w:numId w:val="20"/>
        </w:numPr>
        <w:spacing w:before="120" w:after="0" w:line="240" w:lineRule="auto"/>
        <w:contextualSpacing w:val="0"/>
        <w:rPr>
          <w:rFonts w:asciiTheme="majorHAnsi" w:eastAsia="Times New Roman" w:hAnsiTheme="majorHAnsi" w:cstheme="majorHAnsi"/>
          <w:sz w:val="20"/>
          <w:szCs w:val="20"/>
        </w:rPr>
      </w:pPr>
      <w:r w:rsidRPr="002D4B23">
        <w:rPr>
          <w:rFonts w:asciiTheme="majorHAnsi" w:eastAsia="Times New Roman" w:hAnsiTheme="majorHAnsi" w:cstheme="majorHAnsi"/>
          <w:sz w:val="20"/>
          <w:szCs w:val="20"/>
        </w:rPr>
        <w:t>ring-fence this funding; and,</w:t>
      </w:r>
    </w:p>
    <w:p w14:paraId="5D017180" w14:textId="77777777" w:rsidR="002D4B23" w:rsidRDefault="002D4B23" w:rsidP="00461BFB">
      <w:pPr>
        <w:pStyle w:val="ListParagraph"/>
        <w:numPr>
          <w:ilvl w:val="0"/>
          <w:numId w:val="20"/>
        </w:numPr>
        <w:spacing w:before="120" w:after="0" w:line="240" w:lineRule="auto"/>
        <w:contextualSpacing w:val="0"/>
        <w:rPr>
          <w:rFonts w:asciiTheme="majorHAnsi" w:eastAsia="Times New Roman" w:hAnsiTheme="majorHAnsi" w:cstheme="majorHAnsi"/>
          <w:sz w:val="20"/>
          <w:szCs w:val="20"/>
        </w:rPr>
      </w:pPr>
      <w:r w:rsidRPr="002D4B23">
        <w:rPr>
          <w:rFonts w:asciiTheme="majorHAnsi" w:eastAsia="Times New Roman" w:hAnsiTheme="majorHAnsi" w:cstheme="majorHAnsi"/>
          <w:sz w:val="20"/>
          <w:szCs w:val="20"/>
        </w:rPr>
        <w:t>create contingency funding plans in case the additional funding proves insufficient.</w:t>
      </w:r>
    </w:p>
    <w:p w14:paraId="004FA83B" w14:textId="5937C5E5" w:rsidR="00867EDE" w:rsidRPr="00867EDE" w:rsidRDefault="00867EDE" w:rsidP="00867EDE">
      <w:pPr>
        <w:spacing w:before="120" w:after="0" w:line="240" w:lineRule="auto"/>
        <w:ind w:left="567"/>
        <w:rPr>
          <w:rFonts w:asciiTheme="majorHAnsi" w:eastAsia="Times New Roman" w:hAnsiTheme="majorHAnsi" w:cstheme="majorHAnsi"/>
          <w:sz w:val="20"/>
          <w:szCs w:val="20"/>
        </w:rPr>
      </w:pPr>
      <w:r>
        <w:rPr>
          <w:rFonts w:asciiTheme="majorHAnsi" w:eastAsia="Times New Roman" w:hAnsiTheme="majorHAnsi" w:cstheme="majorHAnsi"/>
          <w:sz w:val="20"/>
          <w:szCs w:val="20"/>
        </w:rPr>
        <w:t>Having reviewed Cadent’s response to this question, we would agree that their revised approach feels appropriate.</w:t>
      </w:r>
    </w:p>
    <w:p w14:paraId="2ED6F83A" w14:textId="77777777" w:rsidR="00DB5BB8" w:rsidRPr="002D4B23" w:rsidRDefault="00DB5BB8" w:rsidP="002D4B23">
      <w:pPr>
        <w:pStyle w:val="ListParagraph"/>
        <w:spacing w:before="120" w:after="0"/>
        <w:contextualSpacing w:val="0"/>
        <w:rPr>
          <w:rFonts w:asciiTheme="majorHAnsi" w:eastAsia="Times New Roman" w:hAnsiTheme="majorHAnsi" w:cstheme="majorHAnsi"/>
          <w:b/>
          <w:bCs/>
          <w:color w:val="000000"/>
          <w:sz w:val="20"/>
          <w:szCs w:val="20"/>
          <w:lang w:eastAsia="ja-JP"/>
        </w:rPr>
      </w:pPr>
    </w:p>
    <w:p w14:paraId="69B74DDA" w14:textId="5630B073" w:rsidR="007673CF" w:rsidRPr="00072C0B" w:rsidRDefault="007673CF" w:rsidP="00156B07">
      <w:pPr>
        <w:ind w:left="360"/>
        <w:rPr>
          <w:rFonts w:asciiTheme="majorHAnsi" w:eastAsia="Times New Roman" w:hAnsiTheme="majorHAnsi" w:cstheme="minorHAnsi"/>
          <w:b/>
          <w:bCs/>
          <w:color w:val="000000"/>
          <w:sz w:val="20"/>
          <w:szCs w:val="20"/>
          <w:lang w:eastAsia="ja-JP"/>
        </w:rPr>
      </w:pPr>
      <w:r w:rsidRPr="00072C0B">
        <w:rPr>
          <w:rFonts w:asciiTheme="majorHAnsi" w:eastAsia="Times New Roman" w:hAnsiTheme="majorHAnsi" w:cstheme="minorHAnsi"/>
          <w:b/>
          <w:bCs/>
          <w:color w:val="000000"/>
          <w:sz w:val="20"/>
          <w:szCs w:val="20"/>
          <w:lang w:eastAsia="ja-JP"/>
        </w:rPr>
        <w:t xml:space="preserve">GDQ17. Do you have any views on the proposed approach to setting unplanned interruption targets for both non-MOBs and MOBs through the Unplanned Interruptions ODI-F? </w:t>
      </w:r>
    </w:p>
    <w:p w14:paraId="1EC8A32F" w14:textId="729BE78A" w:rsidR="00712F5A" w:rsidRPr="00156B07" w:rsidRDefault="00CE6C35" w:rsidP="00CF03BF">
      <w:pPr>
        <w:ind w:left="567"/>
        <w:rPr>
          <w:rFonts w:asciiTheme="majorHAnsi" w:hAnsiTheme="majorHAnsi" w:cstheme="majorHAnsi"/>
          <w:sz w:val="20"/>
          <w:szCs w:val="20"/>
        </w:rPr>
      </w:pPr>
      <w:r>
        <w:rPr>
          <w:rFonts w:asciiTheme="majorHAnsi" w:hAnsiTheme="majorHAnsi" w:cstheme="majorHAnsi"/>
          <w:sz w:val="20"/>
          <w:szCs w:val="20"/>
        </w:rPr>
        <w:t>We</w:t>
      </w:r>
      <w:r w:rsidR="00712F5A" w:rsidRPr="00156B07">
        <w:rPr>
          <w:rFonts w:asciiTheme="majorHAnsi" w:hAnsiTheme="majorHAnsi" w:cstheme="majorHAnsi"/>
          <w:sz w:val="20"/>
          <w:szCs w:val="20"/>
        </w:rPr>
        <w:t xml:space="preserve"> requested to see Cadent’s response to this, having had concerns ourselves about the issues of complex non-MOBs being put in together with ‘normal’ non-MOBs. </w:t>
      </w:r>
      <w:r>
        <w:rPr>
          <w:rFonts w:asciiTheme="majorHAnsi" w:hAnsiTheme="majorHAnsi" w:cstheme="majorHAnsi"/>
          <w:sz w:val="20"/>
          <w:szCs w:val="20"/>
        </w:rPr>
        <w:t>We</w:t>
      </w:r>
      <w:r w:rsidR="00712F5A" w:rsidRPr="00156B07">
        <w:rPr>
          <w:rFonts w:asciiTheme="majorHAnsi" w:hAnsiTheme="majorHAnsi" w:cstheme="majorHAnsi"/>
          <w:sz w:val="20"/>
          <w:szCs w:val="20"/>
        </w:rPr>
        <w:t xml:space="preserve"> have nothing further to add to Cadent’s response and </w:t>
      </w:r>
      <w:r w:rsidR="00712F5A" w:rsidRPr="00156B07">
        <w:rPr>
          <w:rFonts w:asciiTheme="majorHAnsi" w:hAnsiTheme="majorHAnsi" w:cstheme="majorHAnsi"/>
          <w:b/>
          <w:bCs/>
          <w:sz w:val="20"/>
          <w:szCs w:val="20"/>
        </w:rPr>
        <w:t>support Cadent’s recommendations</w:t>
      </w:r>
      <w:r w:rsidR="00712F5A" w:rsidRPr="00156B07">
        <w:rPr>
          <w:rFonts w:asciiTheme="majorHAnsi" w:hAnsiTheme="majorHAnsi" w:cstheme="majorHAnsi"/>
          <w:sz w:val="20"/>
          <w:szCs w:val="20"/>
        </w:rPr>
        <w:t xml:space="preserve">. </w:t>
      </w:r>
    </w:p>
    <w:p w14:paraId="15DB9233" w14:textId="77777777" w:rsidR="00712F5A" w:rsidRPr="007673CF" w:rsidRDefault="00712F5A" w:rsidP="00156B07">
      <w:pPr>
        <w:pStyle w:val="ListParagraph"/>
        <w:rPr>
          <w:rFonts w:eastAsia="Times New Roman" w:cstheme="minorHAnsi"/>
          <w:color w:val="000000"/>
          <w:sz w:val="20"/>
          <w:szCs w:val="20"/>
          <w:lang w:eastAsia="ja-JP"/>
        </w:rPr>
      </w:pPr>
    </w:p>
    <w:p w14:paraId="08DF99FB" w14:textId="77777777" w:rsidR="007673CF" w:rsidRPr="00072C0B" w:rsidRDefault="007673CF" w:rsidP="00156B07">
      <w:pPr>
        <w:ind w:left="360"/>
        <w:rPr>
          <w:rFonts w:asciiTheme="majorHAnsi" w:eastAsia="Times New Roman" w:hAnsiTheme="majorHAnsi" w:cstheme="minorHAnsi"/>
          <w:b/>
          <w:bCs/>
          <w:color w:val="000000"/>
          <w:sz w:val="20"/>
          <w:szCs w:val="20"/>
          <w:lang w:eastAsia="ja-JP"/>
        </w:rPr>
      </w:pPr>
      <w:r w:rsidRPr="00072C0B">
        <w:rPr>
          <w:rFonts w:asciiTheme="majorHAnsi" w:eastAsia="Times New Roman" w:hAnsiTheme="majorHAnsi" w:cstheme="minorHAnsi"/>
          <w:b/>
          <w:bCs/>
          <w:color w:val="000000"/>
          <w:sz w:val="20"/>
          <w:szCs w:val="20"/>
          <w:lang w:eastAsia="ja-JP"/>
        </w:rPr>
        <w:t xml:space="preserve">GDQ18. Do you have any views on the proposed expansion of the Collaborative Streetworks ODI-F across GB? </w:t>
      </w:r>
    </w:p>
    <w:p w14:paraId="11D61839" w14:textId="4F137925" w:rsidR="00712F5A" w:rsidRPr="00156B07" w:rsidRDefault="00CE6C35" w:rsidP="00CF03BF">
      <w:pPr>
        <w:ind w:left="567"/>
        <w:rPr>
          <w:rFonts w:asciiTheme="majorHAnsi" w:eastAsia="Times New Roman" w:hAnsiTheme="majorHAnsi" w:cstheme="majorHAnsi"/>
          <w:color w:val="000000"/>
          <w:sz w:val="20"/>
          <w:szCs w:val="20"/>
          <w:lang w:eastAsia="ja-JP"/>
        </w:rPr>
      </w:pPr>
      <w:r>
        <w:rPr>
          <w:rFonts w:asciiTheme="majorHAnsi" w:eastAsia="Times New Roman" w:hAnsiTheme="majorHAnsi" w:cstheme="majorHAnsi"/>
          <w:color w:val="000000"/>
          <w:sz w:val="20"/>
          <w:szCs w:val="20"/>
          <w:lang w:val="en-US" w:eastAsia="ja-JP"/>
        </w:rPr>
        <w:t>We</w:t>
      </w:r>
      <w:r w:rsidR="00712F5A" w:rsidRPr="00156B07">
        <w:rPr>
          <w:rFonts w:asciiTheme="majorHAnsi" w:eastAsia="Times New Roman" w:hAnsiTheme="majorHAnsi" w:cstheme="majorHAnsi"/>
          <w:color w:val="000000"/>
          <w:sz w:val="20"/>
          <w:szCs w:val="20"/>
          <w:lang w:val="en-US" w:eastAsia="ja-JP"/>
        </w:rPr>
        <w:t xml:space="preserve"> </w:t>
      </w:r>
      <w:r w:rsidR="00712F5A" w:rsidRPr="00156B07">
        <w:rPr>
          <w:rFonts w:asciiTheme="majorHAnsi" w:eastAsia="Times New Roman" w:hAnsiTheme="majorHAnsi" w:cstheme="majorHAnsi"/>
          <w:b/>
          <w:bCs/>
          <w:color w:val="000000"/>
          <w:sz w:val="20"/>
          <w:szCs w:val="20"/>
          <w:lang w:val="en-US" w:eastAsia="ja-JP"/>
        </w:rPr>
        <w:t>support the expansion of the Collaborative Streetworks</w:t>
      </w:r>
      <w:r w:rsidR="00712F5A" w:rsidRPr="00156B07">
        <w:rPr>
          <w:rFonts w:asciiTheme="majorHAnsi" w:eastAsia="Times New Roman" w:hAnsiTheme="majorHAnsi" w:cstheme="majorHAnsi"/>
          <w:color w:val="000000"/>
          <w:sz w:val="20"/>
          <w:szCs w:val="20"/>
          <w:lang w:val="en-US" w:eastAsia="ja-JP"/>
        </w:rPr>
        <w:t xml:space="preserve"> RFI across GB. Streetworks are expanding as infrastructure upgrades are delivered across multiple services (water, telecoms and electricity). The cost of disruption to businesses and transport network users is significant, as is the social cost of disruption. </w:t>
      </w:r>
      <w:r w:rsidR="00712F5A" w:rsidRPr="00156B07">
        <w:rPr>
          <w:rFonts w:asciiTheme="majorHAnsi" w:eastAsia="Times New Roman" w:hAnsiTheme="majorHAnsi" w:cstheme="majorHAnsi"/>
          <w:color w:val="000000"/>
          <w:sz w:val="20"/>
          <w:szCs w:val="20"/>
          <w:lang w:eastAsia="ja-JP"/>
        </w:rPr>
        <w:t> The areas covered by permitting and lane rental schemes are increasing</w:t>
      </w:r>
      <w:r w:rsidR="004A15D6">
        <w:rPr>
          <w:rFonts w:asciiTheme="majorHAnsi" w:eastAsia="Times New Roman" w:hAnsiTheme="majorHAnsi" w:cstheme="majorHAnsi"/>
          <w:color w:val="000000"/>
          <w:sz w:val="20"/>
          <w:szCs w:val="20"/>
          <w:lang w:eastAsia="ja-JP"/>
        </w:rPr>
        <w:t>, therefore</w:t>
      </w:r>
      <w:r w:rsidR="00712F5A" w:rsidRPr="00156B07">
        <w:rPr>
          <w:rFonts w:asciiTheme="majorHAnsi" w:eastAsia="Times New Roman" w:hAnsiTheme="majorHAnsi" w:cstheme="majorHAnsi"/>
          <w:color w:val="000000"/>
          <w:sz w:val="20"/>
          <w:szCs w:val="20"/>
          <w:lang w:eastAsia="ja-JP"/>
        </w:rPr>
        <w:t> collaboration may help reduce the costs of streetworks but also presents an increased risk of delay and penalty where there are more partners involved and therefore we believe a financial incentive is appropriate to help balance this risk. </w:t>
      </w:r>
    </w:p>
    <w:p w14:paraId="119F6B48" w14:textId="77777777" w:rsidR="00712F5A" w:rsidRDefault="00712F5A" w:rsidP="00156B07">
      <w:pPr>
        <w:pStyle w:val="ListParagraph"/>
        <w:rPr>
          <w:rFonts w:eastAsia="Times New Roman" w:cstheme="minorHAnsi"/>
          <w:color w:val="000000"/>
          <w:sz w:val="20"/>
          <w:szCs w:val="20"/>
          <w:lang w:eastAsia="ja-JP"/>
        </w:rPr>
      </w:pPr>
    </w:p>
    <w:p w14:paraId="28BCDFF4" w14:textId="77777777" w:rsidR="007673CF" w:rsidRDefault="007673CF" w:rsidP="00156B07">
      <w:pPr>
        <w:ind w:left="360"/>
        <w:rPr>
          <w:rFonts w:asciiTheme="majorHAnsi" w:eastAsia="Times New Roman" w:hAnsiTheme="majorHAnsi" w:cstheme="minorHAnsi"/>
          <w:b/>
          <w:bCs/>
          <w:color w:val="000000"/>
          <w:sz w:val="20"/>
          <w:szCs w:val="20"/>
          <w:lang w:eastAsia="ja-JP"/>
        </w:rPr>
      </w:pPr>
      <w:r w:rsidRPr="00072C0B">
        <w:rPr>
          <w:rFonts w:asciiTheme="majorHAnsi" w:eastAsia="Times New Roman" w:hAnsiTheme="majorHAnsi" w:cstheme="minorHAnsi"/>
          <w:b/>
          <w:bCs/>
          <w:color w:val="000000"/>
          <w:sz w:val="20"/>
          <w:szCs w:val="20"/>
          <w:lang w:eastAsia="ja-JP"/>
        </w:rPr>
        <w:t xml:space="preserve">GDQ19. Do you have any views on the proposed minimum threshold, the methodology used to set it, and the incentive reward rate for the Collaborative Streetworks ODI-F? </w:t>
      </w:r>
    </w:p>
    <w:p w14:paraId="5EF8A4FD" w14:textId="77777777" w:rsidR="0036200F" w:rsidRDefault="0036200F" w:rsidP="00156B07">
      <w:pPr>
        <w:ind w:left="360"/>
        <w:rPr>
          <w:rFonts w:asciiTheme="majorHAnsi" w:eastAsia="Times New Roman" w:hAnsiTheme="majorHAnsi" w:cstheme="minorHAnsi"/>
          <w:b/>
          <w:bCs/>
          <w:color w:val="000000"/>
          <w:sz w:val="20"/>
          <w:szCs w:val="20"/>
          <w:lang w:eastAsia="ja-JP"/>
        </w:rPr>
      </w:pPr>
    </w:p>
    <w:p w14:paraId="2C96EE0B" w14:textId="23249726" w:rsidR="0036200F" w:rsidRPr="007A118A" w:rsidRDefault="0036200F" w:rsidP="0036200F">
      <w:pPr>
        <w:shd w:val="clear" w:color="auto" w:fill="FFFFFF"/>
        <w:spacing w:after="0" w:line="216" w:lineRule="atLeast"/>
        <w:ind w:left="567"/>
        <w:rPr>
          <w:rFonts w:asciiTheme="majorHAnsi" w:eastAsia="Times New Roman" w:hAnsiTheme="majorHAnsi" w:cs="Times New Roman"/>
          <w:color w:val="555555"/>
          <w:sz w:val="20"/>
          <w:szCs w:val="20"/>
          <w:bdr w:val="none" w:sz="0" w:space="0" w:color="auto" w:frame="1"/>
        </w:rPr>
      </w:pPr>
      <w:r w:rsidRPr="007A118A">
        <w:rPr>
          <w:rFonts w:asciiTheme="majorHAnsi" w:eastAsia="Times New Roman" w:hAnsiTheme="majorHAnsi" w:cs="Times New Roman"/>
          <w:color w:val="555555"/>
          <w:sz w:val="20"/>
          <w:szCs w:val="20"/>
          <w:bdr w:val="none" w:sz="0" w:space="0" w:color="auto" w:frame="1"/>
        </w:rPr>
        <w:t>The number of combined authorities who can carry out the central co-ordinator role are increasing and this should open more of Cadent’s networks to the collaborative approach, with the opportunity to increase efficiency</w:t>
      </w:r>
      <w:r>
        <w:rPr>
          <w:rFonts w:asciiTheme="majorHAnsi" w:eastAsia="Times New Roman" w:hAnsiTheme="majorHAnsi" w:cs="Times New Roman"/>
          <w:color w:val="555555"/>
          <w:sz w:val="20"/>
          <w:szCs w:val="20"/>
          <w:bdr w:val="none" w:sz="0" w:space="0" w:color="auto" w:frame="1"/>
        </w:rPr>
        <w:t xml:space="preserve"> through working with other utilities</w:t>
      </w:r>
      <w:r w:rsidRPr="007A118A">
        <w:rPr>
          <w:rFonts w:asciiTheme="majorHAnsi" w:eastAsia="Times New Roman" w:hAnsiTheme="majorHAnsi" w:cs="Times New Roman"/>
          <w:color w:val="555555"/>
          <w:sz w:val="20"/>
          <w:szCs w:val="20"/>
          <w:bdr w:val="none" w:sz="0" w:space="0" w:color="auto" w:frame="1"/>
        </w:rPr>
        <w:t>.</w:t>
      </w:r>
    </w:p>
    <w:p w14:paraId="4E4FAF58" w14:textId="77777777" w:rsidR="0036200F" w:rsidRPr="007A118A" w:rsidRDefault="0036200F" w:rsidP="0036200F">
      <w:pPr>
        <w:shd w:val="clear" w:color="auto" w:fill="FFFFFF"/>
        <w:spacing w:after="0" w:line="216" w:lineRule="atLeast"/>
        <w:ind w:left="567"/>
        <w:rPr>
          <w:rFonts w:asciiTheme="majorHAnsi" w:eastAsia="Times New Roman" w:hAnsiTheme="majorHAnsi" w:cs="Times New Roman"/>
          <w:color w:val="555555"/>
          <w:sz w:val="20"/>
          <w:szCs w:val="20"/>
        </w:rPr>
      </w:pPr>
    </w:p>
    <w:p w14:paraId="3536EC9F" w14:textId="545E783E" w:rsidR="0036200F" w:rsidRPr="005149D7" w:rsidRDefault="0036200F" w:rsidP="0036200F">
      <w:pPr>
        <w:shd w:val="clear" w:color="auto" w:fill="FFFFFF"/>
        <w:spacing w:after="0" w:line="216" w:lineRule="atLeast"/>
        <w:ind w:left="567"/>
        <w:rPr>
          <w:rFonts w:asciiTheme="majorHAnsi" w:eastAsia="Times New Roman" w:hAnsiTheme="majorHAnsi" w:cs="Times New Roman"/>
          <w:sz w:val="20"/>
          <w:szCs w:val="20"/>
          <w:bdr w:val="none" w:sz="0" w:space="0" w:color="auto" w:frame="1"/>
        </w:rPr>
      </w:pPr>
      <w:r w:rsidRPr="005149D7">
        <w:rPr>
          <w:rFonts w:asciiTheme="majorHAnsi" w:eastAsia="Times New Roman" w:hAnsiTheme="majorHAnsi" w:cs="Times New Roman"/>
          <w:sz w:val="20"/>
          <w:szCs w:val="20"/>
          <w:bdr w:val="none" w:sz="0" w:space="0" w:color="auto" w:frame="1"/>
        </w:rPr>
        <w:t>In the case of new combined authorities or those with new central co-ordinators, we think some </w:t>
      </w:r>
      <w:r w:rsidRPr="005149D7">
        <w:rPr>
          <w:rFonts w:asciiTheme="majorHAnsi" w:eastAsia="Times New Roman" w:hAnsiTheme="majorHAnsi" w:cs="Times New Roman"/>
          <w:b/>
          <w:bCs/>
          <w:sz w:val="20"/>
          <w:szCs w:val="20"/>
          <w:bdr w:val="none" w:sz="0" w:space="0" w:color="auto" w:frame="1"/>
        </w:rPr>
        <w:t>additional costs</w:t>
      </w:r>
      <w:r w:rsidRPr="005149D7">
        <w:rPr>
          <w:rFonts w:asciiTheme="majorHAnsi" w:eastAsia="Times New Roman" w:hAnsiTheme="majorHAnsi" w:cs="Times New Roman"/>
          <w:sz w:val="20"/>
          <w:szCs w:val="20"/>
          <w:bdr w:val="none" w:sz="0" w:space="0" w:color="auto" w:frame="1"/>
        </w:rPr>
        <w:t> are likely to fall on the initiating utility, because central co-ordinators who are part of new combined authorities may need support from the utility to introduce collaborative streetworks. In addition, there will be a new need for early collaboration during the planning phase, so companies are all ready at the point they need permits and for when costs arise for closing traffic lanes. This could present a barrier to collaborative schemes.</w:t>
      </w:r>
    </w:p>
    <w:p w14:paraId="6206AFD6" w14:textId="77777777" w:rsidR="0036200F" w:rsidRPr="005149D7" w:rsidRDefault="0036200F" w:rsidP="0036200F">
      <w:pPr>
        <w:shd w:val="clear" w:color="auto" w:fill="FFFFFF"/>
        <w:spacing w:after="0" w:line="216" w:lineRule="atLeast"/>
        <w:ind w:left="567"/>
        <w:rPr>
          <w:rFonts w:asciiTheme="majorHAnsi" w:eastAsia="Times New Roman" w:hAnsiTheme="majorHAnsi" w:cs="Times New Roman"/>
          <w:sz w:val="20"/>
          <w:szCs w:val="20"/>
        </w:rPr>
      </w:pPr>
    </w:p>
    <w:p w14:paraId="17205453" w14:textId="1E388EA7" w:rsidR="0036200F" w:rsidRPr="005149D7" w:rsidRDefault="0036200F" w:rsidP="0036200F">
      <w:pPr>
        <w:shd w:val="clear" w:color="auto" w:fill="FFFFFF"/>
        <w:spacing w:after="0" w:line="216" w:lineRule="atLeast"/>
        <w:ind w:left="567"/>
        <w:rPr>
          <w:rFonts w:asciiTheme="majorHAnsi" w:eastAsia="Times New Roman" w:hAnsiTheme="majorHAnsi" w:cs="Times New Roman"/>
          <w:sz w:val="20"/>
          <w:szCs w:val="20"/>
        </w:rPr>
      </w:pPr>
      <w:r w:rsidRPr="005149D7">
        <w:rPr>
          <w:rFonts w:asciiTheme="majorHAnsi" w:eastAsia="Times New Roman" w:hAnsiTheme="majorHAnsi" w:cs="Times New Roman"/>
          <w:sz w:val="20"/>
          <w:szCs w:val="20"/>
          <w:bdr w:val="none" w:sz="0" w:space="0" w:color="auto" w:frame="1"/>
        </w:rPr>
        <w:t>We understand Cadent has proposed a</w:t>
      </w:r>
      <w:r w:rsidR="008422B4">
        <w:rPr>
          <w:rFonts w:asciiTheme="majorHAnsi" w:eastAsia="Times New Roman" w:hAnsiTheme="majorHAnsi" w:cs="Times New Roman"/>
          <w:sz w:val="20"/>
          <w:szCs w:val="20"/>
          <w:bdr w:val="none" w:sz="0" w:space="0" w:color="auto" w:frame="1"/>
        </w:rPr>
        <w:t xml:space="preserve"> threshold for applying the </w:t>
      </w:r>
      <w:r w:rsidRPr="005149D7">
        <w:rPr>
          <w:rFonts w:asciiTheme="majorHAnsi" w:eastAsia="Times New Roman" w:hAnsiTheme="majorHAnsi" w:cs="Times New Roman"/>
          <w:sz w:val="20"/>
          <w:szCs w:val="20"/>
          <w:bdr w:val="none" w:sz="0" w:space="0" w:color="auto" w:frame="1"/>
        </w:rPr>
        <w:t xml:space="preserve">incentive </w:t>
      </w:r>
      <w:r w:rsidR="008422B4">
        <w:rPr>
          <w:rFonts w:asciiTheme="majorHAnsi" w:eastAsia="Times New Roman" w:hAnsiTheme="majorHAnsi" w:cs="Times New Roman"/>
          <w:sz w:val="20"/>
          <w:szCs w:val="20"/>
          <w:bdr w:val="none" w:sz="0" w:space="0" w:color="auto" w:frame="1"/>
        </w:rPr>
        <w:t>where networks already have schemes</w:t>
      </w:r>
      <w:r w:rsidRPr="005149D7">
        <w:rPr>
          <w:rFonts w:asciiTheme="majorHAnsi" w:eastAsia="Times New Roman" w:hAnsiTheme="majorHAnsi" w:cs="Times New Roman"/>
          <w:sz w:val="20"/>
          <w:szCs w:val="20"/>
          <w:bdr w:val="none" w:sz="0" w:space="0" w:color="auto" w:frame="1"/>
        </w:rPr>
        <w:t xml:space="preserve"> and with no threshold for new schemes. We </w:t>
      </w:r>
      <w:r w:rsidR="008422B4">
        <w:rPr>
          <w:rFonts w:asciiTheme="majorHAnsi" w:eastAsia="Times New Roman" w:hAnsiTheme="majorHAnsi" w:cs="Times New Roman"/>
          <w:sz w:val="20"/>
          <w:szCs w:val="20"/>
          <w:bdr w:val="none" w:sz="0" w:space="0" w:color="auto" w:frame="1"/>
        </w:rPr>
        <w:t>believe</w:t>
      </w:r>
      <w:r w:rsidRPr="005149D7">
        <w:rPr>
          <w:rFonts w:asciiTheme="majorHAnsi" w:eastAsia="Times New Roman" w:hAnsiTheme="majorHAnsi" w:cs="Times New Roman"/>
          <w:sz w:val="20"/>
          <w:szCs w:val="20"/>
          <w:bdr w:val="none" w:sz="0" w:space="0" w:color="auto" w:frame="1"/>
        </w:rPr>
        <w:t> that where collaboration is mature a higher target is appropriate. In new areas an incentive for all schemes will help Cadent overcome initial barriers to collaboration. We </w:t>
      </w:r>
      <w:r w:rsidR="008422B4">
        <w:rPr>
          <w:rFonts w:asciiTheme="majorHAnsi" w:eastAsia="Times New Roman" w:hAnsiTheme="majorHAnsi" w:cs="Times New Roman"/>
          <w:sz w:val="20"/>
          <w:szCs w:val="20"/>
          <w:bdr w:val="none" w:sz="0" w:space="0" w:color="auto" w:frame="1"/>
        </w:rPr>
        <w:t>suggest</w:t>
      </w:r>
      <w:r w:rsidRPr="005149D7">
        <w:rPr>
          <w:rFonts w:asciiTheme="majorHAnsi" w:eastAsia="Times New Roman" w:hAnsiTheme="majorHAnsi" w:cs="Times New Roman"/>
          <w:sz w:val="20"/>
          <w:szCs w:val="20"/>
          <w:bdr w:val="none" w:sz="0" w:space="0" w:color="auto" w:frame="1"/>
        </w:rPr>
        <w:t xml:space="preserve"> once collaboration becomes BAU in a specific area</w:t>
      </w:r>
      <w:r w:rsidR="009B3080">
        <w:rPr>
          <w:rFonts w:asciiTheme="majorHAnsi" w:eastAsia="Times New Roman" w:hAnsiTheme="majorHAnsi" w:cs="Times New Roman"/>
          <w:sz w:val="20"/>
          <w:szCs w:val="20"/>
          <w:bdr w:val="none" w:sz="0" w:space="0" w:color="auto" w:frame="1"/>
        </w:rPr>
        <w:t xml:space="preserve"> that </w:t>
      </w:r>
      <w:r w:rsidRPr="005149D7">
        <w:rPr>
          <w:rFonts w:asciiTheme="majorHAnsi" w:eastAsia="Times New Roman" w:hAnsiTheme="majorHAnsi" w:cs="Times New Roman"/>
          <w:sz w:val="20"/>
          <w:szCs w:val="20"/>
          <w:bdr w:val="none" w:sz="0" w:space="0" w:color="auto" w:frame="1"/>
        </w:rPr>
        <w:t>the area should become part of the ‘mature’ group of central co-ordinators.</w:t>
      </w:r>
    </w:p>
    <w:p w14:paraId="6328DB1A" w14:textId="77777777" w:rsidR="001E1820" w:rsidRPr="005149D7" w:rsidRDefault="001E1820" w:rsidP="001E1820">
      <w:pPr>
        <w:ind w:left="567"/>
        <w:rPr>
          <w:rFonts w:asciiTheme="majorHAnsi" w:eastAsia="Times New Roman" w:hAnsiTheme="majorHAnsi" w:cstheme="majorHAnsi"/>
          <w:sz w:val="20"/>
          <w:szCs w:val="20"/>
          <w:lang w:eastAsia="ja-JP"/>
        </w:rPr>
      </w:pPr>
      <w:bookmarkStart w:id="1" w:name="_Hlk206501986"/>
    </w:p>
    <w:p w14:paraId="60EF9708" w14:textId="206F269B" w:rsidR="00461BFB" w:rsidRPr="00072C0B" w:rsidRDefault="00461BFB" w:rsidP="001E1820">
      <w:pPr>
        <w:ind w:left="284"/>
        <w:rPr>
          <w:rFonts w:asciiTheme="majorHAnsi" w:eastAsia="Times New Roman" w:hAnsiTheme="majorHAnsi" w:cstheme="minorHAnsi"/>
          <w:b/>
          <w:bCs/>
          <w:color w:val="000000"/>
          <w:sz w:val="20"/>
          <w:szCs w:val="20"/>
          <w:lang w:eastAsia="ja-JP"/>
        </w:rPr>
      </w:pPr>
      <w:r w:rsidRPr="00072C0B">
        <w:rPr>
          <w:rFonts w:asciiTheme="majorHAnsi" w:eastAsia="Times New Roman" w:hAnsiTheme="majorHAnsi" w:cstheme="minorHAnsi"/>
          <w:b/>
          <w:bCs/>
          <w:color w:val="000000"/>
          <w:sz w:val="20"/>
          <w:szCs w:val="20"/>
          <w:lang w:eastAsia="ja-JP"/>
        </w:rPr>
        <w:t xml:space="preserve">GDQ20. Do you agree with the introduction of the proposed Biomethane Connections UIOLI, including with the proposed scope and funding caps? </w:t>
      </w:r>
    </w:p>
    <w:bookmarkEnd w:id="1"/>
    <w:p w14:paraId="1F86A6EF" w14:textId="0CA1E10A" w:rsidR="005A50FF" w:rsidRDefault="005A50FF" w:rsidP="00461BFB">
      <w:pPr>
        <w:spacing w:before="120" w:after="0"/>
        <w:ind w:left="567"/>
        <w:rPr>
          <w:rFonts w:asciiTheme="majorHAnsi" w:eastAsia="Times New Roman" w:hAnsiTheme="majorHAnsi" w:cstheme="majorHAnsi"/>
          <w:color w:val="000000"/>
          <w:sz w:val="20"/>
          <w:szCs w:val="20"/>
          <w:lang w:eastAsia="ja-JP"/>
        </w:rPr>
      </w:pPr>
      <w:r w:rsidRPr="001E1820">
        <w:rPr>
          <w:rFonts w:asciiTheme="majorHAnsi" w:eastAsia="Times New Roman" w:hAnsiTheme="majorHAnsi" w:cstheme="majorHAnsi"/>
          <w:b/>
          <w:bCs/>
          <w:color w:val="000000"/>
          <w:sz w:val="20"/>
          <w:szCs w:val="20"/>
          <w:lang w:eastAsia="ja-JP"/>
        </w:rPr>
        <w:t>No</w:t>
      </w:r>
      <w:r w:rsidR="004736A1">
        <w:rPr>
          <w:rFonts w:asciiTheme="majorHAnsi" w:eastAsia="Times New Roman" w:hAnsiTheme="majorHAnsi" w:cstheme="majorHAnsi"/>
          <w:color w:val="000000"/>
          <w:sz w:val="20"/>
          <w:szCs w:val="20"/>
          <w:lang w:eastAsia="ja-JP"/>
        </w:rPr>
        <w:t>. W</w:t>
      </w:r>
      <w:r w:rsidR="00CE6C35">
        <w:rPr>
          <w:rFonts w:asciiTheme="majorHAnsi" w:eastAsia="Times New Roman" w:hAnsiTheme="majorHAnsi" w:cstheme="majorHAnsi"/>
          <w:color w:val="000000"/>
          <w:sz w:val="20"/>
          <w:szCs w:val="20"/>
          <w:lang w:eastAsia="ja-JP"/>
        </w:rPr>
        <w:t>e</w:t>
      </w:r>
      <w:r w:rsidR="004736A1">
        <w:rPr>
          <w:rFonts w:asciiTheme="majorHAnsi" w:eastAsia="Times New Roman" w:hAnsiTheme="majorHAnsi" w:cstheme="majorHAnsi"/>
          <w:color w:val="000000"/>
          <w:sz w:val="20"/>
          <w:szCs w:val="20"/>
          <w:lang w:eastAsia="ja-JP"/>
        </w:rPr>
        <w:t>,</w:t>
      </w:r>
      <w:r>
        <w:rPr>
          <w:rFonts w:asciiTheme="majorHAnsi" w:eastAsia="Times New Roman" w:hAnsiTheme="majorHAnsi" w:cstheme="majorHAnsi"/>
          <w:color w:val="000000"/>
          <w:sz w:val="20"/>
          <w:szCs w:val="20"/>
          <w:lang w:eastAsia="ja-JP"/>
        </w:rPr>
        <w:t xml:space="preserve"> and in particular our Sustainability Challenge Group, believe the </w:t>
      </w:r>
      <w:r w:rsidRPr="005A50FF">
        <w:rPr>
          <w:rFonts w:asciiTheme="majorHAnsi" w:eastAsia="Times New Roman" w:hAnsiTheme="majorHAnsi" w:cstheme="majorHAnsi"/>
          <w:b/>
          <w:bCs/>
          <w:color w:val="000000"/>
          <w:sz w:val="20"/>
          <w:szCs w:val="20"/>
          <w:lang w:eastAsia="ja-JP"/>
        </w:rPr>
        <w:t>current proposal is not fit for purpose</w:t>
      </w:r>
      <w:r>
        <w:rPr>
          <w:rFonts w:asciiTheme="majorHAnsi" w:eastAsia="Times New Roman" w:hAnsiTheme="majorHAnsi" w:cstheme="majorHAnsi"/>
          <w:b/>
          <w:bCs/>
          <w:color w:val="000000"/>
          <w:sz w:val="20"/>
          <w:szCs w:val="20"/>
          <w:lang w:eastAsia="ja-JP"/>
        </w:rPr>
        <w:t>, despite our support for the intention</w:t>
      </w:r>
      <w:r w:rsidRPr="005A50FF">
        <w:rPr>
          <w:rFonts w:asciiTheme="majorHAnsi" w:eastAsia="Times New Roman" w:hAnsiTheme="majorHAnsi" w:cstheme="majorHAnsi"/>
          <w:b/>
          <w:bCs/>
          <w:color w:val="000000"/>
          <w:sz w:val="20"/>
          <w:szCs w:val="20"/>
          <w:lang w:eastAsia="ja-JP"/>
        </w:rPr>
        <w:t>.</w:t>
      </w:r>
      <w:r>
        <w:rPr>
          <w:rFonts w:asciiTheme="majorHAnsi" w:eastAsia="Times New Roman" w:hAnsiTheme="majorHAnsi" w:cstheme="majorHAnsi"/>
          <w:color w:val="000000"/>
          <w:sz w:val="20"/>
          <w:szCs w:val="20"/>
          <w:lang w:eastAsia="ja-JP"/>
        </w:rPr>
        <w:t xml:space="preserve"> </w:t>
      </w:r>
    </w:p>
    <w:p w14:paraId="4A44A221" w14:textId="6B477312" w:rsidR="00461BFB" w:rsidRPr="00461BFB" w:rsidRDefault="005A50FF" w:rsidP="00461BFB">
      <w:pPr>
        <w:spacing w:before="120" w:after="0"/>
        <w:ind w:left="567"/>
        <w:rPr>
          <w:rFonts w:asciiTheme="majorHAnsi" w:eastAsia="Times New Roman" w:hAnsiTheme="majorHAnsi" w:cstheme="majorHAnsi"/>
          <w:color w:val="000000"/>
          <w:sz w:val="20"/>
          <w:szCs w:val="20"/>
          <w:lang w:eastAsia="ja-JP"/>
        </w:rPr>
      </w:pPr>
      <w:r w:rsidRPr="00EE0F25">
        <w:rPr>
          <w:rFonts w:asciiTheme="majorHAnsi" w:eastAsia="Times New Roman" w:hAnsiTheme="majorHAnsi" w:cstheme="majorHAnsi"/>
          <w:color w:val="000000"/>
          <w:sz w:val="20"/>
          <w:szCs w:val="20"/>
          <w:lang w:eastAsia="ja-JP"/>
        </w:rPr>
        <w:lastRenderedPageBreak/>
        <w:t xml:space="preserve">We do agree on the </w:t>
      </w:r>
      <w:r w:rsidRPr="00EE0F25">
        <w:rPr>
          <w:rFonts w:asciiTheme="majorHAnsi" w:eastAsia="Times New Roman" w:hAnsiTheme="majorHAnsi" w:cstheme="majorHAnsi"/>
          <w:b/>
          <w:bCs/>
          <w:color w:val="000000"/>
          <w:sz w:val="20"/>
          <w:szCs w:val="20"/>
          <w:lang w:eastAsia="ja-JP"/>
        </w:rPr>
        <w:t>importance of b</w:t>
      </w:r>
      <w:r w:rsidR="00461BFB" w:rsidRPr="00EE0F25">
        <w:rPr>
          <w:rFonts w:asciiTheme="majorHAnsi" w:eastAsia="Times New Roman" w:hAnsiTheme="majorHAnsi" w:cstheme="majorHAnsi"/>
          <w:b/>
          <w:bCs/>
          <w:color w:val="000000"/>
          <w:sz w:val="20"/>
          <w:szCs w:val="20"/>
          <w:lang w:eastAsia="ja-JP"/>
        </w:rPr>
        <w:t>iomethane</w:t>
      </w:r>
      <w:r w:rsidRPr="00EE0F25">
        <w:rPr>
          <w:rFonts w:asciiTheme="majorHAnsi" w:eastAsia="Times New Roman" w:hAnsiTheme="majorHAnsi" w:cstheme="majorHAnsi"/>
          <w:color w:val="000000"/>
          <w:sz w:val="20"/>
          <w:szCs w:val="20"/>
          <w:lang w:eastAsia="ja-JP"/>
        </w:rPr>
        <w:t xml:space="preserve">, as it </w:t>
      </w:r>
      <w:r w:rsidR="00461BFB" w:rsidRPr="00EE0F25">
        <w:rPr>
          <w:rFonts w:asciiTheme="majorHAnsi" w:eastAsia="Times New Roman" w:hAnsiTheme="majorHAnsi" w:cstheme="majorHAnsi"/>
          <w:color w:val="000000"/>
          <w:sz w:val="20"/>
          <w:szCs w:val="20"/>
          <w:lang w:eastAsia="ja-JP"/>
        </w:rPr>
        <w:t>provides a growing source of low-carbon gas in the UK. The UK Government foresees a substantial future role for biomethane, with 30-40 TWh production forecast in 2050 in the Biomass Strategy (2023).</w:t>
      </w:r>
      <w:r w:rsidRPr="00EE0F25">
        <w:rPr>
          <w:rFonts w:asciiTheme="majorHAnsi" w:eastAsia="Times New Roman" w:hAnsiTheme="majorHAnsi" w:cstheme="majorHAnsi"/>
          <w:color w:val="000000"/>
          <w:sz w:val="20"/>
          <w:szCs w:val="20"/>
          <w:lang w:eastAsia="ja-JP"/>
        </w:rPr>
        <w:t xml:space="preserve"> </w:t>
      </w:r>
      <w:r w:rsidR="00461BFB" w:rsidRPr="00EE0F25">
        <w:rPr>
          <w:rFonts w:asciiTheme="majorHAnsi" w:eastAsia="Times New Roman" w:hAnsiTheme="majorHAnsi" w:cstheme="majorHAnsi"/>
          <w:color w:val="000000"/>
          <w:sz w:val="20"/>
          <w:szCs w:val="20"/>
          <w:lang w:eastAsia="ja-JP"/>
        </w:rPr>
        <w:t xml:space="preserve">The Green Gas Support Scheme (GGSS) currently provides ongoing tariff support to biomethane-to-grid producers. It provides no investment subsidy and the tariff calculation model assumes a low cost of connection to gas networks and implicitly assumes no upstream network reinforcement is required. The Biomethane Connections UIOLI is designed to support new biomethane connections when applications to the GGSS are closed in 2028. </w:t>
      </w:r>
      <w:r w:rsidR="00EE0F25">
        <w:rPr>
          <w:rFonts w:asciiTheme="majorHAnsi" w:eastAsia="Times New Roman" w:hAnsiTheme="majorHAnsi" w:cstheme="majorHAnsi"/>
          <w:color w:val="000000"/>
          <w:sz w:val="20"/>
          <w:szCs w:val="20"/>
          <w:lang w:eastAsia="ja-JP"/>
        </w:rPr>
        <w:t>We believe that t</w:t>
      </w:r>
      <w:r w:rsidR="00461BFB" w:rsidRPr="00EE0F25">
        <w:rPr>
          <w:rFonts w:asciiTheme="majorHAnsi" w:eastAsia="Times New Roman" w:hAnsiTheme="majorHAnsi" w:cstheme="majorHAnsi"/>
          <w:color w:val="000000"/>
          <w:sz w:val="20"/>
          <w:szCs w:val="20"/>
          <w:lang w:eastAsia="ja-JP"/>
        </w:rPr>
        <w:t xml:space="preserve">here are a </w:t>
      </w:r>
      <w:r w:rsidR="00461BFB" w:rsidRPr="00EE0F25">
        <w:rPr>
          <w:rFonts w:asciiTheme="majorHAnsi" w:eastAsia="Times New Roman" w:hAnsiTheme="majorHAnsi" w:cstheme="majorHAnsi"/>
          <w:b/>
          <w:bCs/>
          <w:color w:val="000000"/>
          <w:sz w:val="20"/>
          <w:szCs w:val="20"/>
          <w:lang w:eastAsia="ja-JP"/>
        </w:rPr>
        <w:t>number of issues with this approach</w:t>
      </w:r>
      <w:r w:rsidR="00461BFB" w:rsidRPr="00EE0F25">
        <w:rPr>
          <w:rFonts w:asciiTheme="majorHAnsi" w:eastAsia="Times New Roman" w:hAnsiTheme="majorHAnsi" w:cstheme="majorHAnsi"/>
          <w:color w:val="000000"/>
          <w:sz w:val="20"/>
          <w:szCs w:val="20"/>
          <w:lang w:eastAsia="ja-JP"/>
        </w:rPr>
        <w:t>:</w:t>
      </w:r>
    </w:p>
    <w:p w14:paraId="6D98EF51" w14:textId="41C038AF" w:rsidR="00461BFB" w:rsidRPr="00461BFB" w:rsidRDefault="00461BFB" w:rsidP="00461BFB">
      <w:pPr>
        <w:spacing w:before="120" w:after="0"/>
        <w:ind w:left="567"/>
        <w:rPr>
          <w:rFonts w:asciiTheme="majorHAnsi" w:eastAsia="Times New Roman" w:hAnsiTheme="majorHAnsi" w:cstheme="majorHAnsi"/>
          <w:color w:val="000000"/>
          <w:sz w:val="20"/>
          <w:szCs w:val="20"/>
          <w:lang w:eastAsia="ja-JP"/>
        </w:rPr>
      </w:pPr>
      <w:r w:rsidRPr="00461BFB">
        <w:rPr>
          <w:rFonts w:asciiTheme="majorHAnsi" w:eastAsia="Times New Roman" w:hAnsiTheme="majorHAnsi" w:cstheme="majorHAnsi"/>
          <w:color w:val="000000"/>
          <w:sz w:val="20"/>
          <w:szCs w:val="20"/>
          <w:lang w:eastAsia="ja-JP"/>
        </w:rPr>
        <w:t>First</w:t>
      </w:r>
      <w:r>
        <w:rPr>
          <w:rFonts w:asciiTheme="majorHAnsi" w:eastAsia="Times New Roman" w:hAnsiTheme="majorHAnsi" w:cstheme="majorHAnsi"/>
          <w:color w:val="000000"/>
          <w:sz w:val="20"/>
          <w:szCs w:val="20"/>
          <w:lang w:eastAsia="ja-JP"/>
        </w:rPr>
        <w:t>ly</w:t>
      </w:r>
      <w:r w:rsidRPr="00461BFB">
        <w:rPr>
          <w:rFonts w:asciiTheme="majorHAnsi" w:eastAsia="Times New Roman" w:hAnsiTheme="majorHAnsi" w:cstheme="majorHAnsi"/>
          <w:color w:val="000000"/>
          <w:sz w:val="20"/>
          <w:szCs w:val="20"/>
          <w:lang w:eastAsia="ja-JP"/>
        </w:rPr>
        <w:t xml:space="preserve">, </w:t>
      </w:r>
      <w:r w:rsidRPr="00461BFB">
        <w:rPr>
          <w:rFonts w:asciiTheme="majorHAnsi" w:eastAsia="Times New Roman" w:hAnsiTheme="majorHAnsi" w:cstheme="majorHAnsi"/>
          <w:b/>
          <w:bCs/>
          <w:color w:val="000000"/>
          <w:sz w:val="20"/>
          <w:szCs w:val="20"/>
          <w:lang w:eastAsia="ja-JP"/>
        </w:rPr>
        <w:t>the role of this scheme within UK energy policy</w:t>
      </w:r>
      <w:r w:rsidRPr="00461BFB">
        <w:rPr>
          <w:rFonts w:asciiTheme="majorHAnsi" w:eastAsia="Times New Roman" w:hAnsiTheme="majorHAnsi" w:cstheme="majorHAnsi"/>
          <w:color w:val="000000"/>
          <w:sz w:val="20"/>
          <w:szCs w:val="20"/>
          <w:lang w:eastAsia="ja-JP"/>
        </w:rPr>
        <w:t>. The UK Government has consulted on a scheme to replace the GGSS. Any support for gas networks should be consistent and coherent with new government biomethane policies</w:t>
      </w:r>
      <w:r w:rsidR="00F65AA4">
        <w:rPr>
          <w:rFonts w:asciiTheme="majorHAnsi" w:eastAsia="Times New Roman" w:hAnsiTheme="majorHAnsi" w:cstheme="majorHAnsi"/>
          <w:color w:val="000000"/>
          <w:sz w:val="20"/>
          <w:szCs w:val="20"/>
          <w:lang w:eastAsia="ja-JP"/>
        </w:rPr>
        <w:t xml:space="preserve">, which are </w:t>
      </w:r>
      <w:r w:rsidR="004736A1">
        <w:rPr>
          <w:rFonts w:asciiTheme="majorHAnsi" w:eastAsia="Times New Roman" w:hAnsiTheme="majorHAnsi" w:cstheme="majorHAnsi"/>
          <w:color w:val="000000"/>
          <w:sz w:val="20"/>
          <w:szCs w:val="20"/>
          <w:lang w:eastAsia="ja-JP"/>
        </w:rPr>
        <w:t>still in development</w:t>
      </w:r>
      <w:r w:rsidRPr="00461BFB">
        <w:rPr>
          <w:rFonts w:asciiTheme="majorHAnsi" w:eastAsia="Times New Roman" w:hAnsiTheme="majorHAnsi" w:cstheme="majorHAnsi"/>
          <w:color w:val="000000"/>
          <w:sz w:val="20"/>
          <w:szCs w:val="20"/>
          <w:lang w:eastAsia="ja-JP"/>
        </w:rPr>
        <w:t>. To address this issue, the scheme is stated to be for commercial plants that are not receiving other biomethane subsidies from the GGSS or other schemes. With this framing, it is not clear why a subsidy for gas connection should be provided</w:t>
      </w:r>
      <w:r w:rsidR="004A15D6">
        <w:rPr>
          <w:rFonts w:asciiTheme="majorHAnsi" w:eastAsia="Times New Roman" w:hAnsiTheme="majorHAnsi" w:cstheme="majorHAnsi"/>
          <w:color w:val="000000"/>
          <w:sz w:val="20"/>
          <w:szCs w:val="20"/>
          <w:lang w:eastAsia="ja-JP"/>
        </w:rPr>
        <w:t>.</w:t>
      </w:r>
      <w:r w:rsidRPr="00461BFB">
        <w:rPr>
          <w:rFonts w:asciiTheme="majorHAnsi" w:eastAsia="Times New Roman" w:hAnsiTheme="majorHAnsi" w:cstheme="majorHAnsi"/>
          <w:color w:val="000000"/>
          <w:sz w:val="20"/>
          <w:szCs w:val="20"/>
          <w:lang w:eastAsia="ja-JP"/>
        </w:rPr>
        <w:t xml:space="preserve"> If a subsidy is appropriate, then</w:t>
      </w:r>
      <w:r w:rsidR="004A15D6">
        <w:rPr>
          <w:rFonts w:asciiTheme="majorHAnsi" w:eastAsia="Times New Roman" w:hAnsiTheme="majorHAnsi" w:cstheme="majorHAnsi"/>
          <w:color w:val="000000"/>
          <w:sz w:val="20"/>
          <w:szCs w:val="20"/>
          <w:lang w:eastAsia="ja-JP"/>
        </w:rPr>
        <w:t xml:space="preserve"> </w:t>
      </w:r>
      <w:r w:rsidR="004736A1">
        <w:rPr>
          <w:rFonts w:asciiTheme="majorHAnsi" w:eastAsia="Times New Roman" w:hAnsiTheme="majorHAnsi" w:cstheme="majorHAnsi"/>
          <w:color w:val="000000"/>
          <w:sz w:val="20"/>
          <w:szCs w:val="20"/>
          <w:lang w:eastAsia="ja-JP"/>
        </w:rPr>
        <w:t>it is</w:t>
      </w:r>
      <w:r w:rsidR="004A15D6">
        <w:rPr>
          <w:rFonts w:asciiTheme="majorHAnsi" w:eastAsia="Times New Roman" w:hAnsiTheme="majorHAnsi" w:cstheme="majorHAnsi"/>
          <w:color w:val="000000"/>
          <w:sz w:val="20"/>
          <w:szCs w:val="20"/>
          <w:lang w:eastAsia="ja-JP"/>
        </w:rPr>
        <w:t xml:space="preserve"> unclear</w:t>
      </w:r>
      <w:r w:rsidRPr="00461BFB">
        <w:rPr>
          <w:rFonts w:asciiTheme="majorHAnsi" w:eastAsia="Times New Roman" w:hAnsiTheme="majorHAnsi" w:cstheme="majorHAnsi"/>
          <w:color w:val="000000"/>
          <w:sz w:val="20"/>
          <w:szCs w:val="20"/>
          <w:lang w:eastAsia="ja-JP"/>
        </w:rPr>
        <w:t xml:space="preserve"> what evidence has been collected to show what level of subsidy is appropriate</w:t>
      </w:r>
      <w:r w:rsidR="004A15D6">
        <w:rPr>
          <w:rFonts w:asciiTheme="majorHAnsi" w:eastAsia="Times New Roman" w:hAnsiTheme="majorHAnsi" w:cstheme="majorHAnsi"/>
          <w:color w:val="000000"/>
          <w:sz w:val="20"/>
          <w:szCs w:val="20"/>
          <w:lang w:eastAsia="ja-JP"/>
        </w:rPr>
        <w:t>.</w:t>
      </w:r>
    </w:p>
    <w:p w14:paraId="711F9CED" w14:textId="2D8A2C37" w:rsidR="00461BFB" w:rsidRPr="00461BFB" w:rsidRDefault="00461BFB" w:rsidP="00461BFB">
      <w:pPr>
        <w:spacing w:before="120" w:after="0"/>
        <w:ind w:left="567"/>
        <w:rPr>
          <w:rFonts w:asciiTheme="majorHAnsi" w:eastAsia="Times New Roman" w:hAnsiTheme="majorHAnsi" w:cstheme="majorHAnsi"/>
          <w:color w:val="000000"/>
          <w:sz w:val="20"/>
          <w:szCs w:val="20"/>
          <w:lang w:eastAsia="ja-JP"/>
        </w:rPr>
      </w:pPr>
      <w:r w:rsidRPr="00461BFB">
        <w:rPr>
          <w:rFonts w:asciiTheme="majorHAnsi" w:eastAsia="Times New Roman" w:hAnsiTheme="majorHAnsi" w:cstheme="majorHAnsi"/>
          <w:color w:val="000000"/>
          <w:sz w:val="20"/>
          <w:szCs w:val="20"/>
          <w:lang w:eastAsia="ja-JP"/>
        </w:rPr>
        <w:t>Second</w:t>
      </w:r>
      <w:r>
        <w:rPr>
          <w:rFonts w:asciiTheme="majorHAnsi" w:eastAsia="Times New Roman" w:hAnsiTheme="majorHAnsi" w:cstheme="majorHAnsi"/>
          <w:color w:val="000000"/>
          <w:sz w:val="20"/>
          <w:szCs w:val="20"/>
          <w:lang w:eastAsia="ja-JP"/>
        </w:rPr>
        <w:t>ly</w:t>
      </w:r>
      <w:r w:rsidRPr="00461BFB">
        <w:rPr>
          <w:rFonts w:asciiTheme="majorHAnsi" w:eastAsia="Times New Roman" w:hAnsiTheme="majorHAnsi" w:cstheme="majorHAnsi"/>
          <w:color w:val="000000"/>
          <w:sz w:val="20"/>
          <w:szCs w:val="20"/>
          <w:lang w:eastAsia="ja-JP"/>
        </w:rPr>
        <w:t xml:space="preserve">, the </w:t>
      </w:r>
      <w:r w:rsidRPr="00461BFB">
        <w:rPr>
          <w:rFonts w:asciiTheme="majorHAnsi" w:eastAsia="Times New Roman" w:hAnsiTheme="majorHAnsi" w:cstheme="majorHAnsi"/>
          <w:b/>
          <w:bCs/>
          <w:color w:val="000000"/>
          <w:sz w:val="20"/>
          <w:szCs w:val="20"/>
          <w:lang w:eastAsia="ja-JP"/>
        </w:rPr>
        <w:t>incentives from such a subsidy could undermine the purpose of producing biomethane</w:t>
      </w:r>
      <w:r w:rsidRPr="00461BFB">
        <w:rPr>
          <w:rFonts w:asciiTheme="majorHAnsi" w:eastAsia="Times New Roman" w:hAnsiTheme="majorHAnsi" w:cstheme="majorHAnsi"/>
          <w:color w:val="000000"/>
          <w:sz w:val="20"/>
          <w:szCs w:val="20"/>
          <w:lang w:eastAsia="ja-JP"/>
        </w:rPr>
        <w:t>. Eligible biomethane supported by the GGSS must have lifecycle greenhouse gas emissions that do not exceed 24g CO</w:t>
      </w:r>
      <w:r w:rsidRPr="00461BFB">
        <w:rPr>
          <w:rFonts w:asciiTheme="majorHAnsi" w:eastAsia="Times New Roman" w:hAnsiTheme="majorHAnsi" w:cstheme="majorHAnsi"/>
          <w:color w:val="000000"/>
          <w:sz w:val="20"/>
          <w:szCs w:val="20"/>
          <w:vertAlign w:val="subscript"/>
          <w:lang w:eastAsia="ja-JP"/>
        </w:rPr>
        <w:t>2</w:t>
      </w:r>
      <w:r w:rsidRPr="00461BFB">
        <w:rPr>
          <w:rFonts w:asciiTheme="majorHAnsi" w:eastAsia="Times New Roman" w:hAnsiTheme="majorHAnsi" w:cstheme="majorHAnsi"/>
          <w:color w:val="000000"/>
          <w:sz w:val="20"/>
          <w:szCs w:val="20"/>
          <w:lang w:eastAsia="ja-JP"/>
        </w:rPr>
        <w:t>eq/MJ biomethane, and impacts on land must be considered for some feedstocks. These criteria are governed through the tariff and Certificate of Origin schemes. The Biomethane Connections UIOLI could support biomethane production that does n</w:t>
      </w:r>
      <w:bookmarkStart w:id="2" w:name="_GoBack"/>
      <w:bookmarkEnd w:id="2"/>
      <w:r w:rsidRPr="00461BFB">
        <w:rPr>
          <w:rFonts w:asciiTheme="majorHAnsi" w:eastAsia="Times New Roman" w:hAnsiTheme="majorHAnsi" w:cstheme="majorHAnsi"/>
          <w:color w:val="000000"/>
          <w:sz w:val="20"/>
          <w:szCs w:val="20"/>
          <w:lang w:eastAsia="ja-JP"/>
        </w:rPr>
        <w:t>ot meet these sustainability requirements. The lack of an ongoing tariff means that emissions would not be governed even if a commitment were made at the outset to meet the requirements.</w:t>
      </w:r>
    </w:p>
    <w:p w14:paraId="603E6932" w14:textId="5556925B" w:rsidR="003E7742" w:rsidRDefault="00461BFB" w:rsidP="003E7742">
      <w:pPr>
        <w:spacing w:before="120" w:after="0"/>
        <w:ind w:left="567"/>
        <w:rPr>
          <w:rFonts w:asciiTheme="majorHAnsi" w:eastAsia="Times New Roman" w:hAnsiTheme="majorHAnsi" w:cstheme="majorHAnsi"/>
          <w:color w:val="000000"/>
          <w:sz w:val="20"/>
          <w:szCs w:val="20"/>
          <w:lang w:eastAsia="ja-JP"/>
        </w:rPr>
      </w:pPr>
      <w:r w:rsidRPr="00461BFB">
        <w:rPr>
          <w:rFonts w:asciiTheme="majorHAnsi" w:eastAsia="Times New Roman" w:hAnsiTheme="majorHAnsi" w:cstheme="majorHAnsi"/>
          <w:color w:val="000000"/>
          <w:sz w:val="20"/>
          <w:szCs w:val="20"/>
          <w:lang w:eastAsia="ja-JP"/>
        </w:rPr>
        <w:t>Third</w:t>
      </w:r>
      <w:r>
        <w:rPr>
          <w:rFonts w:asciiTheme="majorHAnsi" w:eastAsia="Times New Roman" w:hAnsiTheme="majorHAnsi" w:cstheme="majorHAnsi"/>
          <w:color w:val="000000"/>
          <w:sz w:val="20"/>
          <w:szCs w:val="20"/>
          <w:lang w:eastAsia="ja-JP"/>
        </w:rPr>
        <w:t>ly</w:t>
      </w:r>
      <w:r w:rsidRPr="00461BFB">
        <w:rPr>
          <w:rFonts w:asciiTheme="majorHAnsi" w:eastAsia="Times New Roman" w:hAnsiTheme="majorHAnsi" w:cstheme="majorHAnsi"/>
          <w:color w:val="000000"/>
          <w:sz w:val="20"/>
          <w:szCs w:val="20"/>
          <w:lang w:eastAsia="ja-JP"/>
        </w:rPr>
        <w:t xml:space="preserve">, </w:t>
      </w:r>
      <w:r w:rsidRPr="00461BFB">
        <w:rPr>
          <w:rFonts w:asciiTheme="majorHAnsi" w:eastAsia="Times New Roman" w:hAnsiTheme="majorHAnsi" w:cstheme="majorHAnsi"/>
          <w:b/>
          <w:bCs/>
          <w:color w:val="000000"/>
          <w:sz w:val="20"/>
          <w:szCs w:val="20"/>
          <w:lang w:eastAsia="ja-JP"/>
        </w:rPr>
        <w:t>it is not clear why the same UIOLI funding is being set aside for each network company</w:t>
      </w:r>
      <w:r w:rsidRPr="00461BFB">
        <w:rPr>
          <w:rFonts w:asciiTheme="majorHAnsi" w:eastAsia="Times New Roman" w:hAnsiTheme="majorHAnsi" w:cstheme="majorHAnsi"/>
          <w:color w:val="000000"/>
          <w:sz w:val="20"/>
          <w:szCs w:val="20"/>
          <w:lang w:eastAsia="ja-JP"/>
        </w:rPr>
        <w:t>, when some companies have much larger networks or are much more likely to host biomethane connections than others. Moreover, the proposed level of funding is unclear (£15m in the Summary of consultation position and £20m in paragraph 4.11</w:t>
      </w:r>
      <w:r w:rsidR="005A50FF">
        <w:rPr>
          <w:rFonts w:asciiTheme="majorHAnsi" w:eastAsia="Times New Roman" w:hAnsiTheme="majorHAnsi" w:cstheme="majorHAnsi"/>
          <w:color w:val="000000"/>
          <w:sz w:val="20"/>
          <w:szCs w:val="20"/>
          <w:lang w:eastAsia="ja-JP"/>
        </w:rPr>
        <w:t>)</w:t>
      </w:r>
      <w:r w:rsidRPr="00461BFB">
        <w:rPr>
          <w:rFonts w:asciiTheme="majorHAnsi" w:eastAsia="Times New Roman" w:hAnsiTheme="majorHAnsi" w:cstheme="majorHAnsi"/>
          <w:color w:val="000000"/>
          <w:sz w:val="20"/>
          <w:szCs w:val="20"/>
          <w:lang w:eastAsia="ja-JP"/>
        </w:rPr>
        <w:t>.</w:t>
      </w:r>
    </w:p>
    <w:p w14:paraId="7ADBB0C2" w14:textId="200014D8" w:rsidR="00984181" w:rsidRPr="003E7742" w:rsidRDefault="00984181" w:rsidP="00984181">
      <w:pPr>
        <w:spacing w:after="0" w:line="240" w:lineRule="auto"/>
        <w:ind w:left="567"/>
        <w:rPr>
          <w:rFonts w:asciiTheme="majorHAnsi" w:eastAsia="Times New Roman" w:hAnsiTheme="majorHAnsi" w:cs="Times New Roman"/>
          <w:sz w:val="20"/>
          <w:szCs w:val="20"/>
        </w:rPr>
      </w:pPr>
      <w:r w:rsidRPr="003E7742">
        <w:rPr>
          <w:rFonts w:asciiTheme="majorHAnsi" w:eastAsia="Times New Roman" w:hAnsiTheme="majorHAnsi" w:cs="Times New Roman"/>
          <w:sz w:val="20"/>
          <w:szCs w:val="20"/>
          <w:shd w:val="clear" w:color="auto" w:fill="FFFFFF"/>
        </w:rPr>
        <w:t xml:space="preserve">We suggest that </w:t>
      </w:r>
      <w:r w:rsidRPr="003E7742">
        <w:rPr>
          <w:rFonts w:asciiTheme="majorHAnsi" w:eastAsia="Times New Roman" w:hAnsiTheme="majorHAnsi" w:cs="Times New Roman"/>
          <w:b/>
          <w:bCs/>
          <w:sz w:val="20"/>
          <w:szCs w:val="20"/>
          <w:bdr w:val="none" w:sz="0" w:space="0" w:color="auto" w:frame="1"/>
          <w:shd w:val="clear" w:color="auto" w:fill="FFFFFF"/>
        </w:rPr>
        <w:t>Ofgem reserves the proposed level of funding (£20m/network) for the time being and works with the UK Government on a replacement scheme.</w:t>
      </w:r>
      <w:r w:rsidRPr="003E7742">
        <w:rPr>
          <w:rFonts w:asciiTheme="majorHAnsi" w:eastAsia="Times New Roman" w:hAnsiTheme="majorHAnsi" w:cs="Times New Roman"/>
          <w:sz w:val="20"/>
          <w:szCs w:val="20"/>
          <w:shd w:val="clear" w:color="auto" w:fill="FFFFFF"/>
        </w:rPr>
        <w:t xml:space="preserve"> That scheme should appropriately incentivise new </w:t>
      </w:r>
      <w:proofErr w:type="spellStart"/>
      <w:r w:rsidRPr="003E7742">
        <w:rPr>
          <w:rFonts w:asciiTheme="majorHAnsi" w:eastAsia="Times New Roman" w:hAnsiTheme="majorHAnsi" w:cs="Times New Roman"/>
          <w:sz w:val="20"/>
          <w:szCs w:val="20"/>
          <w:shd w:val="clear" w:color="auto" w:fill="FFFFFF"/>
        </w:rPr>
        <w:t>biomethane</w:t>
      </w:r>
      <w:proofErr w:type="spellEnd"/>
      <w:r w:rsidRPr="003E7742">
        <w:rPr>
          <w:rFonts w:asciiTheme="majorHAnsi" w:eastAsia="Times New Roman" w:hAnsiTheme="majorHAnsi" w:cs="Times New Roman"/>
          <w:sz w:val="20"/>
          <w:szCs w:val="20"/>
          <w:shd w:val="clear" w:color="auto" w:fill="FFFFFF"/>
        </w:rPr>
        <w:t xml:space="preserve"> connections, which either account for gas connection and any network reinforcement costs or work alongside an Ofgem scheme that does.</w:t>
      </w:r>
    </w:p>
    <w:p w14:paraId="7B57DBD9" w14:textId="77CB5317" w:rsidR="00461BFB" w:rsidRPr="00461BFB" w:rsidRDefault="00984181" w:rsidP="00461BFB">
      <w:pPr>
        <w:spacing w:before="120" w:after="0"/>
        <w:ind w:left="567"/>
        <w:rPr>
          <w:rFonts w:asciiTheme="majorHAnsi" w:eastAsia="Times New Roman" w:hAnsiTheme="majorHAnsi" w:cstheme="majorHAnsi"/>
          <w:color w:val="000000"/>
          <w:sz w:val="20"/>
          <w:szCs w:val="20"/>
          <w:lang w:eastAsia="ja-JP"/>
        </w:rPr>
      </w:pPr>
      <w:r>
        <w:rPr>
          <w:rFonts w:asciiTheme="majorHAnsi" w:eastAsia="Times New Roman" w:hAnsiTheme="majorHAnsi" w:cstheme="majorHAnsi"/>
          <w:color w:val="000000"/>
          <w:sz w:val="20"/>
          <w:szCs w:val="20"/>
          <w:lang w:eastAsia="ja-JP"/>
        </w:rPr>
        <w:t>Given</w:t>
      </w:r>
      <w:r w:rsidR="00461BFB" w:rsidRPr="00461BFB">
        <w:rPr>
          <w:rFonts w:asciiTheme="majorHAnsi" w:eastAsia="Times New Roman" w:hAnsiTheme="majorHAnsi" w:cstheme="majorHAnsi"/>
          <w:color w:val="000000"/>
          <w:sz w:val="20"/>
          <w:szCs w:val="20"/>
          <w:lang w:eastAsia="ja-JP"/>
        </w:rPr>
        <w:t xml:space="preserve"> that the impacts of biomethane on gas networks will vary between locations, it would be most efficient for GDNs to manage connections as a group to minimise the costs to consumers, rather than treating each connection individually. Where a connection would produce substantial CAPEX or OPEX costs for a network, it would be reasonable to </w:t>
      </w:r>
      <w:r w:rsidR="00461BFB" w:rsidRPr="00461BFB">
        <w:rPr>
          <w:rFonts w:asciiTheme="majorHAnsi" w:eastAsia="Times New Roman" w:hAnsiTheme="majorHAnsi" w:cstheme="majorHAnsi"/>
          <w:b/>
          <w:bCs/>
          <w:color w:val="000000"/>
          <w:sz w:val="20"/>
          <w:szCs w:val="20"/>
          <w:lang w:eastAsia="ja-JP"/>
        </w:rPr>
        <w:t>enable GDNs to negotiate how these costs would be reimbursed</w:t>
      </w:r>
      <w:r w:rsidR="00461BFB" w:rsidRPr="00461BFB">
        <w:rPr>
          <w:rFonts w:asciiTheme="majorHAnsi" w:eastAsia="Times New Roman" w:hAnsiTheme="majorHAnsi" w:cstheme="majorHAnsi"/>
          <w:color w:val="000000"/>
          <w:sz w:val="20"/>
          <w:szCs w:val="20"/>
          <w:lang w:eastAsia="ja-JP"/>
        </w:rPr>
        <w:t xml:space="preserve"> and to refuse a connection where agreement could not be reached.</w:t>
      </w:r>
      <w:r w:rsidR="005A50FF">
        <w:rPr>
          <w:rFonts w:asciiTheme="majorHAnsi" w:eastAsia="Times New Roman" w:hAnsiTheme="majorHAnsi" w:cstheme="majorHAnsi"/>
          <w:color w:val="000000"/>
          <w:sz w:val="20"/>
          <w:szCs w:val="20"/>
          <w:lang w:eastAsia="ja-JP"/>
        </w:rPr>
        <w:t xml:space="preserve">  </w:t>
      </w:r>
    </w:p>
    <w:p w14:paraId="37C1E1B0" w14:textId="1BBA967F" w:rsidR="00461BFB" w:rsidRDefault="00461BFB">
      <w:pPr>
        <w:rPr>
          <w:rFonts w:eastAsiaTheme="minorEastAsia"/>
          <w:b/>
          <w:bCs/>
          <w:color w:val="000000" w:themeColor="text1"/>
          <w:szCs w:val="20"/>
          <w:lang w:val="en-US"/>
        </w:rPr>
      </w:pPr>
    </w:p>
    <w:p w14:paraId="5965D9C1" w14:textId="77777777" w:rsidR="005A50FF" w:rsidRDefault="005A50FF">
      <w:pPr>
        <w:rPr>
          <w:rFonts w:eastAsiaTheme="minorEastAsia"/>
          <w:b/>
          <w:bCs/>
          <w:color w:val="000000" w:themeColor="text1"/>
          <w:szCs w:val="20"/>
          <w:lang w:val="en-US"/>
        </w:rPr>
      </w:pPr>
    </w:p>
    <w:p w14:paraId="6098449B" w14:textId="5D0C3108" w:rsidR="002F5362" w:rsidRPr="00815810" w:rsidRDefault="002F5362" w:rsidP="0038639C">
      <w:pPr>
        <w:pStyle w:val="Default"/>
        <w:numPr>
          <w:ilvl w:val="0"/>
          <w:numId w:val="10"/>
        </w:numPr>
        <w:pBdr>
          <w:bottom w:val="single" w:sz="4" w:space="1" w:color="auto"/>
        </w:pBdr>
        <w:spacing w:after="120"/>
        <w:ind w:left="360"/>
        <w:rPr>
          <w:rFonts w:asciiTheme="minorHAnsi" w:hAnsiTheme="minorHAnsi" w:cstheme="minorBidi"/>
          <w:b/>
          <w:bCs/>
          <w:color w:val="000000" w:themeColor="text1"/>
          <w:sz w:val="22"/>
          <w:szCs w:val="20"/>
          <w:lang w:val="en-US" w:eastAsia="en-US"/>
        </w:rPr>
      </w:pPr>
      <w:r w:rsidRPr="00815810">
        <w:rPr>
          <w:rFonts w:asciiTheme="minorHAnsi" w:hAnsiTheme="minorHAnsi" w:cstheme="minorBidi"/>
          <w:b/>
          <w:bCs/>
          <w:color w:val="000000" w:themeColor="text1"/>
          <w:sz w:val="22"/>
          <w:szCs w:val="20"/>
          <w:lang w:val="en-US" w:eastAsia="en-US"/>
        </w:rPr>
        <w:t>Cadent D</w:t>
      </w:r>
      <w:r w:rsidR="0038639C">
        <w:rPr>
          <w:rFonts w:asciiTheme="minorHAnsi" w:hAnsiTheme="minorHAnsi" w:cstheme="minorBidi"/>
          <w:b/>
          <w:bCs/>
          <w:color w:val="000000" w:themeColor="text1"/>
          <w:sz w:val="22"/>
          <w:szCs w:val="20"/>
          <w:lang w:val="en-US" w:eastAsia="en-US"/>
        </w:rPr>
        <w:t>ocument</w:t>
      </w:r>
      <w:r w:rsidRPr="00815810">
        <w:rPr>
          <w:rFonts w:asciiTheme="minorHAnsi" w:hAnsiTheme="minorHAnsi" w:cstheme="minorBidi"/>
          <w:b/>
          <w:bCs/>
          <w:color w:val="000000" w:themeColor="text1"/>
          <w:sz w:val="22"/>
          <w:szCs w:val="20"/>
          <w:lang w:val="en-US" w:eastAsia="en-US"/>
        </w:rPr>
        <w:t xml:space="preserve"> Questions</w:t>
      </w:r>
    </w:p>
    <w:p w14:paraId="4C8CD1AA" w14:textId="77777777" w:rsidR="002F5362" w:rsidRPr="00393FC8" w:rsidRDefault="002F5362" w:rsidP="00156B07">
      <w:pPr>
        <w:ind w:left="360"/>
        <w:rPr>
          <w:rFonts w:asciiTheme="majorHAnsi" w:eastAsia="Times New Roman" w:hAnsiTheme="majorHAnsi" w:cstheme="minorHAnsi"/>
          <w:b/>
          <w:bCs/>
          <w:sz w:val="20"/>
          <w:szCs w:val="20"/>
        </w:rPr>
      </w:pPr>
      <w:r w:rsidRPr="00393FC8">
        <w:rPr>
          <w:rFonts w:asciiTheme="majorHAnsi" w:eastAsia="Times New Roman" w:hAnsiTheme="majorHAnsi" w:cstheme="minorHAnsi"/>
          <w:b/>
          <w:bCs/>
          <w:sz w:val="20"/>
          <w:szCs w:val="20"/>
        </w:rPr>
        <w:t xml:space="preserve">CADQ5. Do you have any views on our proposal to reject Cadent’s Advanced Leakage Intervention programme and fund its non-mandatory repex programme based on the RIIO-GD2 approach? </w:t>
      </w:r>
    </w:p>
    <w:p w14:paraId="26C63813" w14:textId="6E428698" w:rsidR="002632A2" w:rsidRPr="001E1820" w:rsidRDefault="00CE6C35" w:rsidP="002632A2">
      <w:pPr>
        <w:pStyle w:val="ListParagraph"/>
        <w:spacing w:before="160" w:after="0"/>
        <w:contextualSpacing w:val="0"/>
        <w:rPr>
          <w:rFonts w:asciiTheme="majorHAnsi" w:eastAsia="Times New Roman" w:hAnsiTheme="majorHAnsi" w:cstheme="majorHAnsi"/>
          <w:b/>
          <w:bCs/>
          <w:sz w:val="20"/>
          <w:szCs w:val="20"/>
        </w:rPr>
      </w:pPr>
      <w:r>
        <w:rPr>
          <w:rFonts w:asciiTheme="majorHAnsi" w:eastAsia="Times New Roman" w:hAnsiTheme="majorHAnsi" w:cstheme="majorHAnsi"/>
          <w:sz w:val="20"/>
          <w:szCs w:val="20"/>
        </w:rPr>
        <w:t>We</w:t>
      </w:r>
      <w:r w:rsidR="00B54363">
        <w:rPr>
          <w:rFonts w:asciiTheme="majorHAnsi" w:eastAsia="Times New Roman" w:hAnsiTheme="majorHAnsi" w:cstheme="majorHAnsi"/>
          <w:sz w:val="20"/>
          <w:szCs w:val="20"/>
        </w:rPr>
        <w:t>,</w:t>
      </w:r>
      <w:r w:rsidR="002632A2" w:rsidRPr="002632A2">
        <w:rPr>
          <w:rFonts w:asciiTheme="majorHAnsi" w:eastAsia="Times New Roman" w:hAnsiTheme="majorHAnsi" w:cstheme="majorHAnsi"/>
          <w:sz w:val="20"/>
          <w:szCs w:val="20"/>
        </w:rPr>
        <w:t xml:space="preserve"> and particularly our S</w:t>
      </w:r>
      <w:r w:rsidR="001E1820">
        <w:rPr>
          <w:rFonts w:asciiTheme="majorHAnsi" w:eastAsia="Times New Roman" w:hAnsiTheme="majorHAnsi" w:cstheme="majorHAnsi"/>
          <w:sz w:val="20"/>
          <w:szCs w:val="20"/>
        </w:rPr>
        <w:t xml:space="preserve">ustainability </w:t>
      </w:r>
      <w:r w:rsidR="002632A2" w:rsidRPr="002632A2">
        <w:rPr>
          <w:rFonts w:asciiTheme="majorHAnsi" w:eastAsia="Times New Roman" w:hAnsiTheme="majorHAnsi" w:cstheme="majorHAnsi"/>
          <w:sz w:val="20"/>
          <w:szCs w:val="20"/>
        </w:rPr>
        <w:t>C</w:t>
      </w:r>
      <w:r w:rsidR="001E1820">
        <w:rPr>
          <w:rFonts w:asciiTheme="majorHAnsi" w:eastAsia="Times New Roman" w:hAnsiTheme="majorHAnsi" w:cstheme="majorHAnsi"/>
          <w:sz w:val="20"/>
          <w:szCs w:val="20"/>
        </w:rPr>
        <w:t xml:space="preserve">hallenge </w:t>
      </w:r>
      <w:r w:rsidR="002632A2" w:rsidRPr="002632A2">
        <w:rPr>
          <w:rFonts w:asciiTheme="majorHAnsi" w:eastAsia="Times New Roman" w:hAnsiTheme="majorHAnsi" w:cstheme="majorHAnsi"/>
          <w:sz w:val="20"/>
          <w:szCs w:val="20"/>
        </w:rPr>
        <w:t>G</w:t>
      </w:r>
      <w:r w:rsidR="001E1820">
        <w:rPr>
          <w:rFonts w:asciiTheme="majorHAnsi" w:eastAsia="Times New Roman" w:hAnsiTheme="majorHAnsi" w:cstheme="majorHAnsi"/>
          <w:sz w:val="20"/>
          <w:szCs w:val="20"/>
        </w:rPr>
        <w:t>roup</w:t>
      </w:r>
      <w:r w:rsidR="002632A2" w:rsidRPr="002632A2">
        <w:rPr>
          <w:rFonts w:asciiTheme="majorHAnsi" w:eastAsia="Times New Roman" w:hAnsiTheme="majorHAnsi" w:cstheme="majorHAnsi"/>
          <w:sz w:val="20"/>
          <w:szCs w:val="20"/>
        </w:rPr>
        <w:t xml:space="preserve">, believe that the proposal to reject Cadent’s Advanced Leakage Intervention programme </w:t>
      </w:r>
      <w:r w:rsidR="002632A2" w:rsidRPr="001E1820">
        <w:rPr>
          <w:rFonts w:asciiTheme="majorHAnsi" w:eastAsia="Times New Roman" w:hAnsiTheme="majorHAnsi" w:cstheme="majorHAnsi"/>
          <w:b/>
          <w:bCs/>
          <w:sz w:val="20"/>
          <w:szCs w:val="20"/>
        </w:rPr>
        <w:t>should be reassessed.</w:t>
      </w:r>
    </w:p>
    <w:p w14:paraId="219D14A6" w14:textId="4E56F116" w:rsidR="002632A2" w:rsidRDefault="002632A2" w:rsidP="002632A2">
      <w:pPr>
        <w:pStyle w:val="ListParagraph"/>
        <w:spacing w:before="160" w:after="0"/>
        <w:contextualSpacing w:val="0"/>
        <w:rPr>
          <w:rFonts w:asciiTheme="majorHAnsi" w:eastAsia="Times New Roman" w:hAnsiTheme="majorHAnsi" w:cstheme="majorHAnsi"/>
          <w:sz w:val="20"/>
          <w:szCs w:val="20"/>
        </w:rPr>
      </w:pPr>
      <w:r w:rsidRPr="002632A2">
        <w:rPr>
          <w:rFonts w:asciiTheme="majorHAnsi" w:eastAsia="Times New Roman" w:hAnsiTheme="majorHAnsi" w:cstheme="majorHAnsi"/>
          <w:sz w:val="20"/>
          <w:szCs w:val="20"/>
        </w:rPr>
        <w:t xml:space="preserve">Firstly, the </w:t>
      </w:r>
      <w:r w:rsidRPr="002632A2">
        <w:rPr>
          <w:rFonts w:asciiTheme="majorHAnsi" w:eastAsia="Times New Roman" w:hAnsiTheme="majorHAnsi" w:cstheme="majorHAnsi"/>
          <w:b/>
          <w:bCs/>
          <w:sz w:val="20"/>
          <w:szCs w:val="20"/>
        </w:rPr>
        <w:t>background rationale compels action</w:t>
      </w:r>
      <w:r w:rsidRPr="002632A2">
        <w:rPr>
          <w:rFonts w:asciiTheme="majorHAnsi" w:eastAsia="Times New Roman" w:hAnsiTheme="majorHAnsi" w:cstheme="majorHAnsi"/>
          <w:sz w:val="20"/>
          <w:szCs w:val="20"/>
        </w:rPr>
        <w:t xml:space="preserve"> </w:t>
      </w:r>
      <w:r>
        <w:rPr>
          <w:rFonts w:asciiTheme="majorHAnsi" w:eastAsia="Times New Roman" w:hAnsiTheme="majorHAnsi" w:cstheme="majorHAnsi"/>
          <w:sz w:val="20"/>
          <w:szCs w:val="20"/>
        </w:rPr>
        <w:t>on methane emissions</w:t>
      </w:r>
      <w:r w:rsidRPr="002632A2">
        <w:rPr>
          <w:rFonts w:asciiTheme="majorHAnsi" w:eastAsia="Times New Roman" w:hAnsiTheme="majorHAnsi" w:cstheme="majorHAnsi"/>
          <w:sz w:val="20"/>
          <w:szCs w:val="20"/>
        </w:rPr>
        <w:t>: The UK government has committed to reaching net zero emissions by 2050. The RIIO-3 period will be mostly covered by the UK’s Fifth Carbon Budget (2028-2032), which assumes reduced methane emissions through the Iron Mains Risk Reduction Programme. Yet there is particular global and UK concern about non-CO</w:t>
      </w:r>
      <w:r w:rsidRPr="002632A2">
        <w:rPr>
          <w:rFonts w:asciiTheme="majorHAnsi" w:eastAsia="Times New Roman" w:hAnsiTheme="majorHAnsi" w:cstheme="majorHAnsi"/>
          <w:sz w:val="20"/>
          <w:szCs w:val="20"/>
          <w:vertAlign w:val="subscript"/>
        </w:rPr>
        <w:t>2</w:t>
      </w:r>
      <w:r w:rsidRPr="002632A2">
        <w:rPr>
          <w:rFonts w:asciiTheme="majorHAnsi" w:eastAsia="Times New Roman" w:hAnsiTheme="majorHAnsi" w:cstheme="majorHAnsi"/>
          <w:sz w:val="20"/>
          <w:szCs w:val="20"/>
        </w:rPr>
        <w:t xml:space="preserve"> GHGs. In 2022, the UK signed the Global Methane Pledge to collectively reduce global methane emissions by at least 30% by 2030 compared to 2020 levels. In 2023, the COP28 agreement called on parties to accelerate and substantially </w:t>
      </w:r>
      <w:r w:rsidRPr="002632A2">
        <w:rPr>
          <w:rFonts w:asciiTheme="majorHAnsi" w:eastAsia="Times New Roman" w:hAnsiTheme="majorHAnsi" w:cstheme="majorHAnsi"/>
          <w:sz w:val="20"/>
          <w:szCs w:val="20"/>
        </w:rPr>
        <w:lastRenderedPageBreak/>
        <w:t>reduce non-CO</w:t>
      </w:r>
      <w:r w:rsidRPr="002632A2">
        <w:rPr>
          <w:rFonts w:asciiTheme="majorHAnsi" w:eastAsia="Times New Roman" w:hAnsiTheme="majorHAnsi" w:cstheme="majorHAnsi"/>
          <w:sz w:val="20"/>
          <w:szCs w:val="20"/>
          <w:vertAlign w:val="subscript"/>
        </w:rPr>
        <w:t>2</w:t>
      </w:r>
      <w:r w:rsidRPr="002632A2">
        <w:rPr>
          <w:rFonts w:asciiTheme="majorHAnsi" w:eastAsia="Times New Roman" w:hAnsiTheme="majorHAnsi" w:cstheme="majorHAnsi"/>
          <w:sz w:val="20"/>
          <w:szCs w:val="20"/>
        </w:rPr>
        <w:t xml:space="preserve"> emissions globally, particularly methane emissions, by 2030. The Energy Act 2023 introduced a specific legal mandate for Ofgem to support the UK Government in meeting its obligations under the Climate Change Act 2008, including the 2050 net zero target and the five-year carbon budgets. It requires Ofgem to embed climate considerations into its core decision-making.</w:t>
      </w:r>
      <w:r>
        <w:rPr>
          <w:rFonts w:asciiTheme="majorHAnsi" w:eastAsia="Times New Roman" w:hAnsiTheme="majorHAnsi" w:cstheme="majorHAnsi"/>
          <w:sz w:val="20"/>
          <w:szCs w:val="20"/>
        </w:rPr>
        <w:t xml:space="preserve"> </w:t>
      </w:r>
      <w:r w:rsidR="00146FB7">
        <w:rPr>
          <w:rFonts w:asciiTheme="majorHAnsi" w:eastAsia="Times New Roman" w:hAnsiTheme="majorHAnsi" w:cstheme="majorHAnsi"/>
          <w:sz w:val="20"/>
          <w:szCs w:val="20"/>
        </w:rPr>
        <w:t>With this backdrop we are unclear why Ofgem is minded to reject Advanced Leakage programme.</w:t>
      </w:r>
    </w:p>
    <w:p w14:paraId="6445EF8F" w14:textId="41500DDD" w:rsidR="002632A2" w:rsidRPr="002632A2" w:rsidRDefault="002632A2" w:rsidP="002632A2">
      <w:pPr>
        <w:pStyle w:val="ListParagraph"/>
        <w:spacing w:before="160" w:after="0"/>
        <w:contextualSpacing w:val="0"/>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Secondly, </w:t>
      </w:r>
      <w:r w:rsidRPr="002632A2">
        <w:rPr>
          <w:rFonts w:asciiTheme="majorHAnsi" w:eastAsia="Times New Roman" w:hAnsiTheme="majorHAnsi" w:cstheme="majorHAnsi"/>
          <w:b/>
          <w:bCs/>
          <w:sz w:val="20"/>
          <w:szCs w:val="20"/>
        </w:rPr>
        <w:t>shrinkage makes a substantial contribution</w:t>
      </w:r>
      <w:r w:rsidRPr="002632A2">
        <w:rPr>
          <w:rFonts w:asciiTheme="majorHAnsi" w:eastAsia="Times New Roman" w:hAnsiTheme="majorHAnsi" w:cstheme="majorHAnsi"/>
          <w:sz w:val="20"/>
          <w:szCs w:val="20"/>
        </w:rPr>
        <w:t xml:space="preserve"> to UK methane emissions. </w:t>
      </w:r>
      <w:r w:rsidRPr="002632A2">
        <w:rPr>
          <w:rFonts w:asciiTheme="majorHAnsi" w:eastAsia="Times New Roman" w:hAnsiTheme="majorHAnsi" w:cstheme="majorHAnsi"/>
          <w:sz w:val="20"/>
          <w:szCs w:val="20"/>
          <w:lang w:val="en-US"/>
        </w:rPr>
        <w:t xml:space="preserve">Option 1 in </w:t>
      </w:r>
      <w:r w:rsidRPr="002632A2">
        <w:rPr>
          <w:rFonts w:asciiTheme="majorHAnsi" w:eastAsia="Times New Roman" w:hAnsiTheme="majorHAnsi" w:cstheme="majorHAnsi"/>
          <w:sz w:val="20"/>
          <w:szCs w:val="20"/>
        </w:rPr>
        <w:t xml:space="preserve">Cadent’s revised Advanced Leakage Intervention programme proposal (Tier 2A resubmission) would reduce methane emissions </w:t>
      </w:r>
      <w:r w:rsidR="004736A1">
        <w:rPr>
          <w:rFonts w:asciiTheme="majorHAnsi" w:eastAsia="Times New Roman" w:hAnsiTheme="majorHAnsi" w:cstheme="majorHAnsi"/>
          <w:sz w:val="20"/>
          <w:szCs w:val="20"/>
        </w:rPr>
        <w:t>in the region of</w:t>
      </w:r>
      <w:r w:rsidRPr="002632A2">
        <w:rPr>
          <w:rFonts w:asciiTheme="majorHAnsi" w:eastAsia="Times New Roman" w:hAnsiTheme="majorHAnsi" w:cstheme="majorHAnsi"/>
          <w:sz w:val="20"/>
          <w:szCs w:val="20"/>
        </w:rPr>
        <w:t xml:space="preserve"> 40 ktCO</w:t>
      </w:r>
      <w:r w:rsidRPr="002632A2">
        <w:rPr>
          <w:rFonts w:asciiTheme="majorHAnsi" w:eastAsia="Times New Roman" w:hAnsiTheme="majorHAnsi" w:cstheme="majorHAnsi"/>
          <w:sz w:val="20"/>
          <w:szCs w:val="20"/>
          <w:vertAlign w:val="subscript"/>
        </w:rPr>
        <w:t>2</w:t>
      </w:r>
      <w:r w:rsidRPr="002632A2">
        <w:rPr>
          <w:rFonts w:asciiTheme="majorHAnsi" w:eastAsia="Times New Roman" w:hAnsiTheme="majorHAnsi" w:cstheme="majorHAnsi"/>
          <w:sz w:val="20"/>
          <w:szCs w:val="20"/>
        </w:rPr>
        <w:t xml:space="preserve">e/year. Assuming the accelerated </w:t>
      </w:r>
      <w:proofErr w:type="gramStart"/>
      <w:r w:rsidRPr="002632A2">
        <w:rPr>
          <w:rFonts w:asciiTheme="majorHAnsi" w:eastAsia="Times New Roman" w:hAnsiTheme="majorHAnsi" w:cstheme="majorHAnsi"/>
          <w:sz w:val="20"/>
          <w:szCs w:val="20"/>
        </w:rPr>
        <w:t>roll-out</w:t>
      </w:r>
      <w:proofErr w:type="gramEnd"/>
      <w:r w:rsidRPr="002632A2">
        <w:rPr>
          <w:rFonts w:asciiTheme="majorHAnsi" w:eastAsia="Times New Roman" w:hAnsiTheme="majorHAnsi" w:cstheme="majorHAnsi"/>
          <w:sz w:val="20"/>
          <w:szCs w:val="20"/>
        </w:rPr>
        <w:t xml:space="preserve"> replaced iron pipes 5 years earlier on average, the total emissions reduction would be </w:t>
      </w:r>
      <w:r w:rsidR="004736A1">
        <w:rPr>
          <w:rFonts w:asciiTheme="majorHAnsi" w:eastAsia="Times New Roman" w:hAnsiTheme="majorHAnsi" w:cstheme="majorHAnsi"/>
          <w:sz w:val="20"/>
          <w:szCs w:val="20"/>
        </w:rPr>
        <w:t xml:space="preserve">around </w:t>
      </w:r>
      <w:r w:rsidRPr="002632A2">
        <w:rPr>
          <w:rFonts w:asciiTheme="majorHAnsi" w:eastAsia="Times New Roman" w:hAnsiTheme="majorHAnsi" w:cstheme="majorHAnsi"/>
          <w:sz w:val="20"/>
          <w:szCs w:val="20"/>
        </w:rPr>
        <w:t>200 ktCO</w:t>
      </w:r>
      <w:r w:rsidRPr="002632A2">
        <w:rPr>
          <w:rFonts w:asciiTheme="majorHAnsi" w:eastAsia="Times New Roman" w:hAnsiTheme="majorHAnsi" w:cstheme="majorHAnsi"/>
          <w:sz w:val="20"/>
          <w:szCs w:val="20"/>
          <w:vertAlign w:val="subscript"/>
        </w:rPr>
        <w:t>2</w:t>
      </w:r>
      <w:r w:rsidRPr="002632A2">
        <w:rPr>
          <w:rFonts w:asciiTheme="majorHAnsi" w:eastAsia="Times New Roman" w:hAnsiTheme="majorHAnsi" w:cstheme="majorHAnsi"/>
          <w:sz w:val="20"/>
          <w:szCs w:val="20"/>
        </w:rPr>
        <w:t>e, at a cost of moving forward planned IMRRP investment by 5 years (from RIIO-4 to RIIO-3). Cadent have demonstrated that the payback period meets regulatory expectations.</w:t>
      </w:r>
    </w:p>
    <w:p w14:paraId="3E197FCD" w14:textId="3D380F7B" w:rsidR="002632A2" w:rsidRDefault="002632A2" w:rsidP="002632A2">
      <w:pPr>
        <w:pStyle w:val="ListParagraph"/>
        <w:spacing w:before="160" w:after="0"/>
        <w:contextualSpacing w:val="0"/>
        <w:rPr>
          <w:rFonts w:asciiTheme="majorHAnsi" w:eastAsia="Times New Roman" w:hAnsiTheme="majorHAnsi" w:cstheme="majorHAnsi"/>
          <w:sz w:val="20"/>
          <w:szCs w:val="20"/>
        </w:rPr>
      </w:pPr>
      <w:r>
        <w:rPr>
          <w:rFonts w:asciiTheme="majorHAnsi" w:eastAsia="Times New Roman" w:hAnsiTheme="majorHAnsi" w:cstheme="majorHAnsi"/>
          <w:sz w:val="20"/>
          <w:szCs w:val="20"/>
        </w:rPr>
        <w:t>Thirdly, a</w:t>
      </w:r>
      <w:r w:rsidRPr="002632A2">
        <w:rPr>
          <w:rFonts w:asciiTheme="majorHAnsi" w:eastAsia="Times New Roman" w:hAnsiTheme="majorHAnsi" w:cstheme="majorHAnsi"/>
          <w:sz w:val="20"/>
          <w:szCs w:val="20"/>
        </w:rPr>
        <w:t xml:space="preserve">ccelerating the programme would also provide </w:t>
      </w:r>
      <w:r w:rsidRPr="002632A2">
        <w:rPr>
          <w:rFonts w:asciiTheme="majorHAnsi" w:eastAsia="Times New Roman" w:hAnsiTheme="majorHAnsi" w:cstheme="majorHAnsi"/>
          <w:b/>
          <w:bCs/>
          <w:sz w:val="20"/>
          <w:szCs w:val="20"/>
        </w:rPr>
        <w:t>safety benefits to Cadent’s customers</w:t>
      </w:r>
      <w:r w:rsidRPr="002632A2">
        <w:rPr>
          <w:rFonts w:asciiTheme="majorHAnsi" w:eastAsia="Times New Roman" w:hAnsiTheme="majorHAnsi" w:cstheme="majorHAnsi"/>
          <w:sz w:val="20"/>
          <w:szCs w:val="20"/>
        </w:rPr>
        <w:t xml:space="preserve"> by proactively replacing a greater proportion of the </w:t>
      </w:r>
      <w:proofErr w:type="gramStart"/>
      <w:r w:rsidRPr="002632A2">
        <w:rPr>
          <w:rFonts w:asciiTheme="majorHAnsi" w:eastAsia="Times New Roman" w:hAnsiTheme="majorHAnsi" w:cstheme="majorHAnsi"/>
          <w:sz w:val="20"/>
          <w:szCs w:val="20"/>
        </w:rPr>
        <w:t>leakiest</w:t>
      </w:r>
      <w:proofErr w:type="gramEnd"/>
      <w:r w:rsidRPr="002632A2">
        <w:rPr>
          <w:rFonts w:asciiTheme="majorHAnsi" w:eastAsia="Times New Roman" w:hAnsiTheme="majorHAnsi" w:cstheme="majorHAnsi"/>
          <w:sz w:val="20"/>
          <w:szCs w:val="20"/>
        </w:rPr>
        <w:t xml:space="preserve"> pipes on the network.</w:t>
      </w:r>
      <w:r>
        <w:rPr>
          <w:rFonts w:asciiTheme="majorHAnsi" w:eastAsia="Times New Roman" w:hAnsiTheme="majorHAnsi" w:cstheme="majorHAnsi"/>
          <w:sz w:val="20"/>
          <w:szCs w:val="20"/>
        </w:rPr>
        <w:t xml:space="preserve"> </w:t>
      </w:r>
    </w:p>
    <w:p w14:paraId="3555D796" w14:textId="19A53C9F" w:rsidR="002F5362" w:rsidRPr="00815810" w:rsidRDefault="002F5362" w:rsidP="002F5362">
      <w:pPr>
        <w:pStyle w:val="ListParagraph"/>
        <w:rPr>
          <w:rFonts w:eastAsia="Times New Roman" w:cstheme="minorHAnsi"/>
          <w:sz w:val="20"/>
          <w:szCs w:val="20"/>
        </w:rPr>
      </w:pPr>
    </w:p>
    <w:p w14:paraId="393C594E" w14:textId="77777777" w:rsidR="002F5362" w:rsidRPr="00156B07" w:rsidRDefault="002F5362" w:rsidP="00156B07">
      <w:pPr>
        <w:ind w:left="360"/>
        <w:rPr>
          <w:rFonts w:eastAsia="Times New Roman" w:cstheme="minorHAnsi"/>
          <w:b/>
          <w:bCs/>
          <w:sz w:val="20"/>
          <w:szCs w:val="20"/>
        </w:rPr>
      </w:pPr>
      <w:r w:rsidRPr="00156B07">
        <w:rPr>
          <w:rFonts w:eastAsia="Times New Roman" w:cstheme="minorHAnsi"/>
          <w:b/>
          <w:bCs/>
          <w:sz w:val="20"/>
          <w:szCs w:val="20"/>
        </w:rPr>
        <w:t xml:space="preserve">CADQ6. Do you agree with our proposal to reject Cadent’s Net Zero Transition Planning proposal? </w:t>
      </w:r>
    </w:p>
    <w:p w14:paraId="41D3DE87" w14:textId="23DBE1A7" w:rsidR="00093652" w:rsidRPr="002D4B23" w:rsidRDefault="001E1820" w:rsidP="00093652">
      <w:pPr>
        <w:pStyle w:val="ListParagraph"/>
        <w:rPr>
          <w:rFonts w:asciiTheme="majorHAnsi" w:eastAsia="Times New Roman" w:hAnsiTheme="majorHAnsi" w:cstheme="majorHAnsi"/>
          <w:b/>
          <w:bCs/>
          <w:sz w:val="20"/>
          <w:szCs w:val="20"/>
        </w:rPr>
      </w:pPr>
      <w:r w:rsidRPr="001E1820">
        <w:rPr>
          <w:rFonts w:asciiTheme="majorHAnsi" w:eastAsia="Times New Roman" w:hAnsiTheme="majorHAnsi" w:cs="Times New Roman"/>
          <w:b/>
          <w:bCs/>
          <w:sz w:val="20"/>
          <w:szCs w:val="20"/>
        </w:rPr>
        <w:t>No</w:t>
      </w:r>
      <w:r w:rsidR="00146FB7">
        <w:rPr>
          <w:rFonts w:asciiTheme="majorHAnsi" w:eastAsia="Times New Roman" w:hAnsiTheme="majorHAnsi" w:cs="Times New Roman"/>
          <w:b/>
          <w:bCs/>
          <w:sz w:val="20"/>
          <w:szCs w:val="20"/>
        </w:rPr>
        <w:t xml:space="preserve"> we do not agree</w:t>
      </w:r>
      <w:r w:rsidRPr="001E1820">
        <w:rPr>
          <w:rFonts w:asciiTheme="majorHAnsi" w:eastAsia="Times New Roman" w:hAnsiTheme="majorHAnsi" w:cs="Times New Roman"/>
          <w:b/>
          <w:bCs/>
          <w:sz w:val="20"/>
          <w:szCs w:val="20"/>
        </w:rPr>
        <w:t>.</w:t>
      </w:r>
      <w:r>
        <w:rPr>
          <w:rFonts w:asciiTheme="majorHAnsi" w:eastAsia="Times New Roman" w:hAnsiTheme="majorHAnsi" w:cs="Times New Roman"/>
          <w:sz w:val="20"/>
          <w:szCs w:val="20"/>
        </w:rPr>
        <w:t xml:space="preserve"> </w:t>
      </w:r>
      <w:r w:rsidR="002F5362" w:rsidRPr="00093652">
        <w:rPr>
          <w:rFonts w:asciiTheme="majorHAnsi" w:eastAsia="Times New Roman" w:hAnsiTheme="majorHAnsi" w:cs="Times New Roman"/>
          <w:sz w:val="20"/>
          <w:szCs w:val="20"/>
        </w:rPr>
        <w:t xml:space="preserve">We recognise that NESO holds the responsibility for </w:t>
      </w:r>
      <w:r w:rsidR="00B54363">
        <w:rPr>
          <w:rFonts w:asciiTheme="majorHAnsi" w:eastAsia="Times New Roman" w:hAnsiTheme="majorHAnsi" w:cs="Times New Roman"/>
          <w:sz w:val="20"/>
          <w:szCs w:val="20"/>
        </w:rPr>
        <w:t>R</w:t>
      </w:r>
      <w:r w:rsidR="002F5362" w:rsidRPr="00093652">
        <w:rPr>
          <w:rFonts w:asciiTheme="majorHAnsi" w:eastAsia="Times New Roman" w:hAnsiTheme="majorHAnsi" w:cs="Times New Roman"/>
          <w:sz w:val="20"/>
          <w:szCs w:val="20"/>
        </w:rPr>
        <w:t xml:space="preserve">egional </w:t>
      </w:r>
      <w:r w:rsidR="00B54363">
        <w:rPr>
          <w:rFonts w:asciiTheme="majorHAnsi" w:eastAsia="Times New Roman" w:hAnsiTheme="majorHAnsi" w:cs="Times New Roman"/>
          <w:sz w:val="20"/>
          <w:szCs w:val="20"/>
        </w:rPr>
        <w:t>E</w:t>
      </w:r>
      <w:r w:rsidR="002F5362" w:rsidRPr="00093652">
        <w:rPr>
          <w:rFonts w:asciiTheme="majorHAnsi" w:eastAsia="Times New Roman" w:hAnsiTheme="majorHAnsi" w:cs="Times New Roman"/>
          <w:sz w:val="20"/>
          <w:szCs w:val="20"/>
        </w:rPr>
        <w:t xml:space="preserve">nergy </w:t>
      </w:r>
      <w:r w:rsidR="00B54363">
        <w:rPr>
          <w:rFonts w:asciiTheme="majorHAnsi" w:eastAsia="Times New Roman" w:hAnsiTheme="majorHAnsi" w:cs="Times New Roman"/>
          <w:sz w:val="20"/>
          <w:szCs w:val="20"/>
        </w:rPr>
        <w:t>S</w:t>
      </w:r>
      <w:r w:rsidR="002F5362" w:rsidRPr="00093652">
        <w:rPr>
          <w:rFonts w:asciiTheme="majorHAnsi" w:eastAsia="Times New Roman" w:hAnsiTheme="majorHAnsi" w:cs="Times New Roman"/>
          <w:sz w:val="20"/>
          <w:szCs w:val="20"/>
        </w:rPr>
        <w:t xml:space="preserve">trategic </w:t>
      </w:r>
      <w:r w:rsidR="00B54363">
        <w:rPr>
          <w:rFonts w:asciiTheme="majorHAnsi" w:eastAsia="Times New Roman" w:hAnsiTheme="majorHAnsi" w:cs="Times New Roman"/>
          <w:sz w:val="20"/>
          <w:szCs w:val="20"/>
        </w:rPr>
        <w:t>P</w:t>
      </w:r>
      <w:r w:rsidR="002F5362" w:rsidRPr="00093652">
        <w:rPr>
          <w:rFonts w:asciiTheme="majorHAnsi" w:eastAsia="Times New Roman" w:hAnsiTheme="majorHAnsi" w:cs="Times New Roman"/>
          <w:sz w:val="20"/>
          <w:szCs w:val="20"/>
        </w:rPr>
        <w:t>lanning (RESP) and that NESO’s RESP does not plan to duplicate work done elsewhere. However</w:t>
      </w:r>
      <w:r w:rsidR="00093652">
        <w:rPr>
          <w:rFonts w:asciiTheme="majorHAnsi" w:eastAsia="Times New Roman" w:hAnsiTheme="majorHAnsi" w:cs="Times New Roman"/>
          <w:sz w:val="20"/>
          <w:szCs w:val="20"/>
        </w:rPr>
        <w:t>,</w:t>
      </w:r>
      <w:r w:rsidR="002F5362" w:rsidRPr="00093652">
        <w:rPr>
          <w:rFonts w:asciiTheme="majorHAnsi" w:eastAsia="Times New Roman" w:hAnsiTheme="majorHAnsi" w:cs="Times New Roman"/>
          <w:sz w:val="20"/>
          <w:szCs w:val="20"/>
        </w:rPr>
        <w:t xml:space="preserve"> the process to be used by the RESPs will place new </w:t>
      </w:r>
      <w:r w:rsidR="002F5362" w:rsidRPr="00093652">
        <w:rPr>
          <w:rFonts w:asciiTheme="majorHAnsi" w:eastAsia="Times New Roman" w:hAnsiTheme="majorHAnsi" w:cs="Times New Roman"/>
          <w:b/>
          <w:bCs/>
          <w:sz w:val="20"/>
          <w:szCs w:val="20"/>
        </w:rPr>
        <w:t>demands for information</w:t>
      </w:r>
      <w:r w:rsidR="002F5362" w:rsidRPr="00093652">
        <w:rPr>
          <w:rFonts w:asciiTheme="majorHAnsi" w:eastAsia="Times New Roman" w:hAnsiTheme="majorHAnsi" w:cs="Times New Roman"/>
          <w:sz w:val="20"/>
          <w:szCs w:val="20"/>
        </w:rPr>
        <w:t xml:space="preserve"> on </w:t>
      </w:r>
      <w:r w:rsidR="00093652">
        <w:rPr>
          <w:rFonts w:asciiTheme="majorHAnsi" w:eastAsia="Times New Roman" w:hAnsiTheme="majorHAnsi" w:cs="Times New Roman"/>
          <w:sz w:val="20"/>
          <w:szCs w:val="20"/>
        </w:rPr>
        <w:t xml:space="preserve">stakeholder </w:t>
      </w:r>
      <w:r w:rsidR="002F5362" w:rsidRPr="00093652">
        <w:rPr>
          <w:rFonts w:asciiTheme="majorHAnsi" w:eastAsia="Times New Roman" w:hAnsiTheme="majorHAnsi" w:cs="Times New Roman"/>
          <w:sz w:val="20"/>
          <w:szCs w:val="20"/>
        </w:rPr>
        <w:t>organisations, such as local authorities, requiring new levels of expertise from these organisations.  </w:t>
      </w:r>
      <w:r w:rsidR="00146FB7">
        <w:rPr>
          <w:rFonts w:asciiTheme="majorHAnsi" w:eastAsia="Times New Roman" w:hAnsiTheme="majorHAnsi" w:cs="Times New Roman"/>
          <w:sz w:val="20"/>
          <w:szCs w:val="20"/>
        </w:rPr>
        <w:t>We are</w:t>
      </w:r>
      <w:r w:rsidR="002F5362" w:rsidRPr="00093652">
        <w:rPr>
          <w:rFonts w:asciiTheme="majorHAnsi" w:eastAsia="Times New Roman" w:hAnsiTheme="majorHAnsi" w:cs="Times New Roman"/>
          <w:sz w:val="20"/>
          <w:szCs w:val="20"/>
        </w:rPr>
        <w:t xml:space="preserve"> not aware of local authorities having additional </w:t>
      </w:r>
      <w:r w:rsidR="002F5362" w:rsidRPr="002D4B23">
        <w:rPr>
          <w:rFonts w:asciiTheme="majorHAnsi" w:eastAsia="Times New Roman" w:hAnsiTheme="majorHAnsi" w:cstheme="majorHAnsi"/>
          <w:sz w:val="20"/>
          <w:szCs w:val="20"/>
        </w:rPr>
        <w:t>resource for this purpose. Therefore</w:t>
      </w:r>
      <w:r w:rsidR="00146FB7">
        <w:rPr>
          <w:rFonts w:asciiTheme="majorHAnsi" w:eastAsia="Times New Roman" w:hAnsiTheme="majorHAnsi" w:cstheme="majorHAnsi"/>
          <w:sz w:val="20"/>
          <w:szCs w:val="20"/>
        </w:rPr>
        <w:t>,</w:t>
      </w:r>
      <w:r w:rsidR="002F5362" w:rsidRPr="002D4B23">
        <w:rPr>
          <w:rFonts w:asciiTheme="majorHAnsi" w:eastAsia="Times New Roman" w:hAnsiTheme="majorHAnsi" w:cstheme="majorHAnsi"/>
          <w:sz w:val="20"/>
          <w:szCs w:val="20"/>
        </w:rPr>
        <w:t xml:space="preserve"> we believe that leveraging and expanding GDNs’ existing relationships may support these organisations but at an increased commitment by the GDN across its local authority stakeholders.</w:t>
      </w:r>
      <w:r w:rsidR="00093652" w:rsidRPr="002D4B23">
        <w:rPr>
          <w:rFonts w:asciiTheme="majorHAnsi" w:eastAsia="Times New Roman" w:hAnsiTheme="majorHAnsi" w:cstheme="majorHAnsi"/>
          <w:sz w:val="20"/>
          <w:szCs w:val="20"/>
        </w:rPr>
        <w:t xml:space="preserve"> </w:t>
      </w:r>
      <w:r w:rsidR="00146FB7">
        <w:rPr>
          <w:rFonts w:asciiTheme="majorHAnsi" w:eastAsia="Times New Roman" w:hAnsiTheme="majorHAnsi" w:cstheme="majorHAnsi"/>
          <w:b/>
          <w:bCs/>
          <w:sz w:val="20"/>
          <w:szCs w:val="20"/>
        </w:rPr>
        <w:t>T</w:t>
      </w:r>
      <w:r w:rsidR="00093652" w:rsidRPr="002D4B23">
        <w:rPr>
          <w:rFonts w:asciiTheme="majorHAnsi" w:eastAsia="Times New Roman" w:hAnsiTheme="majorHAnsi" w:cstheme="majorHAnsi"/>
          <w:b/>
          <w:bCs/>
          <w:sz w:val="20"/>
          <w:szCs w:val="20"/>
        </w:rPr>
        <w:t>herefore</w:t>
      </w:r>
      <w:r w:rsidR="00146FB7">
        <w:rPr>
          <w:rFonts w:asciiTheme="majorHAnsi" w:eastAsia="Times New Roman" w:hAnsiTheme="majorHAnsi" w:cstheme="majorHAnsi"/>
          <w:b/>
          <w:bCs/>
          <w:sz w:val="20"/>
          <w:szCs w:val="20"/>
        </w:rPr>
        <w:t xml:space="preserve"> in the interests of local authority stakeholders</w:t>
      </w:r>
      <w:r w:rsidR="00093652" w:rsidRPr="002D4B23">
        <w:rPr>
          <w:rFonts w:asciiTheme="majorHAnsi" w:eastAsia="Times New Roman" w:hAnsiTheme="majorHAnsi" w:cstheme="majorHAnsi"/>
          <w:b/>
          <w:bCs/>
          <w:sz w:val="20"/>
          <w:szCs w:val="20"/>
        </w:rPr>
        <w:t xml:space="preserve"> would like to see some funding allocated to GDNs delivering this commitment.</w:t>
      </w:r>
    </w:p>
    <w:p w14:paraId="23F147E9" w14:textId="77777777" w:rsidR="00B54363" w:rsidRDefault="00B54363" w:rsidP="002F5362">
      <w:pPr>
        <w:pStyle w:val="ListParagraph"/>
        <w:rPr>
          <w:rFonts w:asciiTheme="majorHAnsi" w:eastAsia="Times New Roman" w:hAnsiTheme="majorHAnsi" w:cstheme="majorHAnsi"/>
          <w:sz w:val="20"/>
          <w:szCs w:val="20"/>
        </w:rPr>
      </w:pPr>
    </w:p>
    <w:p w14:paraId="20C0B4A6" w14:textId="3E1CB085" w:rsidR="002F5362" w:rsidRDefault="002D4B23" w:rsidP="002F5362">
      <w:pPr>
        <w:pStyle w:val="ListParagraph"/>
        <w:rPr>
          <w:rFonts w:asciiTheme="majorHAnsi" w:eastAsia="Times New Roman" w:hAnsiTheme="majorHAnsi" w:cstheme="majorHAnsi"/>
          <w:sz w:val="20"/>
          <w:szCs w:val="20"/>
        </w:rPr>
      </w:pPr>
      <w:r w:rsidRPr="002D4B23">
        <w:rPr>
          <w:rFonts w:asciiTheme="majorHAnsi" w:eastAsia="Times New Roman" w:hAnsiTheme="majorHAnsi" w:cstheme="majorHAnsi"/>
          <w:sz w:val="20"/>
          <w:szCs w:val="20"/>
        </w:rPr>
        <w:t>Please see response to GDQ4 for further detail.</w:t>
      </w:r>
    </w:p>
    <w:p w14:paraId="403BFC68" w14:textId="77777777" w:rsidR="0088386B" w:rsidRDefault="0088386B" w:rsidP="002F5362">
      <w:pPr>
        <w:pStyle w:val="ListParagraph"/>
        <w:rPr>
          <w:rFonts w:asciiTheme="majorHAnsi" w:eastAsia="Times New Roman" w:hAnsiTheme="majorHAnsi" w:cstheme="majorHAnsi"/>
          <w:sz w:val="20"/>
          <w:szCs w:val="20"/>
        </w:rPr>
      </w:pPr>
    </w:p>
    <w:p w14:paraId="03F9D13D" w14:textId="25ED69CF" w:rsidR="0088386B" w:rsidRPr="00156B07" w:rsidRDefault="0088386B" w:rsidP="0088386B">
      <w:pPr>
        <w:ind w:left="360"/>
        <w:rPr>
          <w:rFonts w:eastAsia="Times New Roman" w:cstheme="minorHAnsi"/>
          <w:sz w:val="20"/>
          <w:szCs w:val="20"/>
        </w:rPr>
      </w:pPr>
      <w:r w:rsidRPr="00156B07">
        <w:rPr>
          <w:rFonts w:eastAsia="Times New Roman" w:cstheme="minorHAnsi"/>
          <w:b/>
          <w:bCs/>
          <w:sz w:val="20"/>
          <w:szCs w:val="20"/>
        </w:rPr>
        <w:t>CADQ1</w:t>
      </w:r>
      <w:r>
        <w:rPr>
          <w:rFonts w:eastAsia="Times New Roman" w:cstheme="minorHAnsi"/>
          <w:b/>
          <w:bCs/>
          <w:sz w:val="20"/>
          <w:szCs w:val="20"/>
        </w:rPr>
        <w:t>1</w:t>
      </w:r>
      <w:r w:rsidRPr="00156B07">
        <w:rPr>
          <w:rFonts w:eastAsia="Times New Roman" w:cstheme="minorHAnsi"/>
          <w:b/>
          <w:bCs/>
          <w:sz w:val="20"/>
          <w:szCs w:val="20"/>
        </w:rPr>
        <w:t xml:space="preserve">. Do you agree with our </w:t>
      </w:r>
      <w:r>
        <w:rPr>
          <w:rFonts w:eastAsia="Times New Roman" w:cstheme="minorHAnsi"/>
          <w:b/>
          <w:bCs/>
          <w:sz w:val="20"/>
          <w:szCs w:val="20"/>
        </w:rPr>
        <w:t>assessment results for Cadent against Stage C of the BPI</w:t>
      </w:r>
      <w:r w:rsidRPr="00156B07">
        <w:rPr>
          <w:rFonts w:eastAsia="Times New Roman" w:cstheme="minorHAnsi"/>
          <w:sz w:val="20"/>
          <w:szCs w:val="20"/>
        </w:rPr>
        <w:t>?</w:t>
      </w:r>
    </w:p>
    <w:p w14:paraId="7E4FAB98" w14:textId="70C12E78" w:rsidR="0088386B" w:rsidRPr="00CF03BF" w:rsidRDefault="001E1820" w:rsidP="0088386B">
      <w:pPr>
        <w:pStyle w:val="Default"/>
        <w:spacing w:after="120"/>
        <w:ind w:left="720"/>
        <w:rPr>
          <w:rFonts w:asciiTheme="majorHAnsi" w:eastAsia="Times New Roman" w:hAnsiTheme="majorHAnsi" w:cstheme="majorHAnsi"/>
          <w:sz w:val="20"/>
          <w:szCs w:val="20"/>
        </w:rPr>
      </w:pPr>
      <w:r w:rsidRPr="001E1820">
        <w:rPr>
          <w:rFonts w:asciiTheme="majorHAnsi" w:eastAsia="Times New Roman" w:hAnsiTheme="majorHAnsi" w:cstheme="majorHAnsi"/>
          <w:b/>
          <w:bCs/>
          <w:sz w:val="20"/>
          <w:szCs w:val="20"/>
        </w:rPr>
        <w:t>No</w:t>
      </w:r>
      <w:r w:rsidR="00146FB7">
        <w:rPr>
          <w:rFonts w:asciiTheme="majorHAnsi" w:eastAsia="Times New Roman" w:hAnsiTheme="majorHAnsi" w:cstheme="majorHAnsi"/>
          <w:b/>
          <w:bCs/>
          <w:sz w:val="20"/>
          <w:szCs w:val="20"/>
        </w:rPr>
        <w:t xml:space="preserve"> we do not agree</w:t>
      </w:r>
      <w:r w:rsidRPr="001E1820">
        <w:rPr>
          <w:rFonts w:asciiTheme="majorHAnsi" w:eastAsia="Times New Roman" w:hAnsiTheme="majorHAnsi" w:cstheme="majorHAnsi"/>
          <w:b/>
          <w:bCs/>
          <w:sz w:val="20"/>
          <w:szCs w:val="20"/>
        </w:rPr>
        <w:t xml:space="preserve">. </w:t>
      </w:r>
      <w:r w:rsidR="00146FB7">
        <w:rPr>
          <w:rFonts w:asciiTheme="majorHAnsi" w:eastAsia="Times New Roman" w:hAnsiTheme="majorHAnsi" w:cstheme="majorHAnsi"/>
          <w:sz w:val="20"/>
          <w:szCs w:val="20"/>
        </w:rPr>
        <w:t>We</w:t>
      </w:r>
      <w:r w:rsidR="0088386B" w:rsidRPr="00CF03BF">
        <w:rPr>
          <w:rFonts w:asciiTheme="majorHAnsi" w:eastAsia="Times New Roman" w:hAnsiTheme="majorHAnsi" w:cstheme="majorHAnsi"/>
          <w:sz w:val="20"/>
          <w:szCs w:val="20"/>
        </w:rPr>
        <w:t xml:space="preserve"> </w:t>
      </w:r>
      <w:r w:rsidR="00924AB5">
        <w:rPr>
          <w:rFonts w:asciiTheme="majorHAnsi" w:eastAsia="Times New Roman" w:hAnsiTheme="majorHAnsi" w:cstheme="majorHAnsi"/>
          <w:sz w:val="20"/>
          <w:szCs w:val="20"/>
        </w:rPr>
        <w:t xml:space="preserve">are </w:t>
      </w:r>
      <w:r w:rsidR="0088386B" w:rsidRPr="00CF03BF">
        <w:rPr>
          <w:rFonts w:asciiTheme="majorHAnsi" w:eastAsia="Times New Roman" w:hAnsiTheme="majorHAnsi" w:cstheme="majorHAnsi"/>
          <w:sz w:val="20"/>
          <w:szCs w:val="20"/>
        </w:rPr>
        <w:t>concern</w:t>
      </w:r>
      <w:r w:rsidR="00924AB5">
        <w:rPr>
          <w:rFonts w:asciiTheme="majorHAnsi" w:eastAsia="Times New Roman" w:hAnsiTheme="majorHAnsi" w:cstheme="majorHAnsi"/>
          <w:sz w:val="20"/>
          <w:szCs w:val="20"/>
        </w:rPr>
        <w:t>ed</w:t>
      </w:r>
      <w:r w:rsidR="0088386B" w:rsidRPr="00CF03BF">
        <w:rPr>
          <w:rFonts w:asciiTheme="majorHAnsi" w:eastAsia="Times New Roman" w:hAnsiTheme="majorHAnsi" w:cstheme="majorHAnsi"/>
          <w:sz w:val="20"/>
          <w:szCs w:val="20"/>
        </w:rPr>
        <w:t xml:space="preserve"> that Ofgem </w:t>
      </w:r>
      <w:r w:rsidR="00924AB5">
        <w:rPr>
          <w:rFonts w:asciiTheme="majorHAnsi" w:eastAsia="Times New Roman" w:hAnsiTheme="majorHAnsi" w:cstheme="majorHAnsi"/>
          <w:sz w:val="20"/>
          <w:szCs w:val="20"/>
        </w:rPr>
        <w:t>are proposing</w:t>
      </w:r>
      <w:r w:rsidR="0088386B" w:rsidRPr="00CF03BF">
        <w:rPr>
          <w:rFonts w:asciiTheme="majorHAnsi" w:eastAsia="Times New Roman" w:hAnsiTheme="majorHAnsi" w:cstheme="majorHAnsi"/>
          <w:sz w:val="20"/>
          <w:szCs w:val="20"/>
        </w:rPr>
        <w:t xml:space="preserve"> to </w:t>
      </w:r>
      <w:r w:rsidR="0088386B" w:rsidRPr="00CF03BF">
        <w:rPr>
          <w:rFonts w:asciiTheme="majorHAnsi" w:eastAsia="Times New Roman" w:hAnsiTheme="majorHAnsi" w:cstheme="majorHAnsi"/>
          <w:b/>
          <w:bCs/>
          <w:sz w:val="20"/>
          <w:szCs w:val="20"/>
        </w:rPr>
        <w:t>penalise Cadent</w:t>
      </w:r>
      <w:r w:rsidR="0088386B" w:rsidRPr="00CF03BF">
        <w:rPr>
          <w:rFonts w:asciiTheme="majorHAnsi" w:eastAsia="Times New Roman" w:hAnsiTheme="majorHAnsi" w:cstheme="majorHAnsi"/>
          <w:sz w:val="20"/>
          <w:szCs w:val="20"/>
        </w:rPr>
        <w:t xml:space="preserve"> for including plans to create a template to expand their ‘Beyond the meter’ initiative. We feel </w:t>
      </w:r>
      <w:proofErr w:type="spellStart"/>
      <w:r w:rsidR="00B54363">
        <w:rPr>
          <w:rFonts w:asciiTheme="majorHAnsi" w:eastAsia="Times New Roman" w:hAnsiTheme="majorHAnsi" w:cstheme="majorHAnsi"/>
          <w:sz w:val="20"/>
          <w:szCs w:val="20"/>
        </w:rPr>
        <w:t>Ofgem’s</w:t>
      </w:r>
      <w:proofErr w:type="spellEnd"/>
      <w:r w:rsidR="00B54363">
        <w:rPr>
          <w:rFonts w:asciiTheme="majorHAnsi" w:eastAsia="Times New Roman" w:hAnsiTheme="majorHAnsi" w:cstheme="majorHAnsi"/>
          <w:sz w:val="20"/>
          <w:szCs w:val="20"/>
        </w:rPr>
        <w:t xml:space="preserve"> view</w:t>
      </w:r>
      <w:r w:rsidR="0088386B" w:rsidRPr="00CF03BF">
        <w:rPr>
          <w:rFonts w:asciiTheme="majorHAnsi" w:eastAsia="Times New Roman" w:hAnsiTheme="majorHAnsi" w:cstheme="majorHAnsi"/>
          <w:sz w:val="20"/>
          <w:szCs w:val="20"/>
        </w:rPr>
        <w:t xml:space="preserve"> does not reflect </w:t>
      </w:r>
      <w:r w:rsidR="0088386B">
        <w:rPr>
          <w:rFonts w:asciiTheme="majorHAnsi" w:eastAsia="Times New Roman" w:hAnsiTheme="majorHAnsi" w:cstheme="majorHAnsi"/>
          <w:sz w:val="20"/>
          <w:szCs w:val="20"/>
        </w:rPr>
        <w:t>the potential</w:t>
      </w:r>
      <w:r w:rsidR="000901FC">
        <w:rPr>
          <w:rFonts w:asciiTheme="majorHAnsi" w:eastAsia="Times New Roman" w:hAnsiTheme="majorHAnsi" w:cstheme="majorHAnsi"/>
          <w:sz w:val="20"/>
          <w:szCs w:val="20"/>
        </w:rPr>
        <w:t xml:space="preserve"> to make greater use of the network companies’ unique position</w:t>
      </w:r>
      <w:r w:rsidR="0088386B" w:rsidRPr="00CF03BF">
        <w:rPr>
          <w:rFonts w:asciiTheme="majorHAnsi" w:eastAsia="Times New Roman" w:hAnsiTheme="majorHAnsi" w:cstheme="majorHAnsi"/>
          <w:sz w:val="20"/>
          <w:szCs w:val="20"/>
        </w:rPr>
        <w:t>, nor is in the interests of customers and stakeholders, for t</w:t>
      </w:r>
      <w:r w:rsidR="000901FC">
        <w:rPr>
          <w:rFonts w:asciiTheme="majorHAnsi" w:eastAsia="Times New Roman" w:hAnsiTheme="majorHAnsi" w:cstheme="majorHAnsi"/>
          <w:sz w:val="20"/>
          <w:szCs w:val="20"/>
        </w:rPr>
        <w:t>wo</w:t>
      </w:r>
      <w:r w:rsidR="0088386B" w:rsidRPr="00CF03BF">
        <w:rPr>
          <w:rFonts w:asciiTheme="majorHAnsi" w:eastAsia="Times New Roman" w:hAnsiTheme="majorHAnsi" w:cstheme="majorHAnsi"/>
          <w:sz w:val="20"/>
          <w:szCs w:val="20"/>
        </w:rPr>
        <w:t xml:space="preserve"> reasons:</w:t>
      </w:r>
    </w:p>
    <w:p w14:paraId="5176D111" w14:textId="0C437E49" w:rsidR="0088386B" w:rsidRPr="00195B71" w:rsidRDefault="0088386B" w:rsidP="0088386B">
      <w:pPr>
        <w:pStyle w:val="Default"/>
        <w:numPr>
          <w:ilvl w:val="1"/>
          <w:numId w:val="13"/>
        </w:numPr>
        <w:spacing w:after="120"/>
        <w:ind w:left="1800"/>
        <w:rPr>
          <w:rFonts w:asciiTheme="majorHAnsi" w:eastAsia="Times New Roman" w:hAnsiTheme="majorHAnsi" w:cstheme="majorHAnsi"/>
          <w:sz w:val="20"/>
          <w:szCs w:val="20"/>
        </w:rPr>
      </w:pPr>
      <w:r w:rsidRPr="00195B71">
        <w:rPr>
          <w:rFonts w:asciiTheme="majorHAnsi" w:eastAsia="Times New Roman" w:hAnsiTheme="majorHAnsi" w:cstheme="majorHAnsi"/>
          <w:sz w:val="20"/>
          <w:szCs w:val="20"/>
        </w:rPr>
        <w:t xml:space="preserve">The </w:t>
      </w:r>
      <w:r w:rsidRPr="00195B71">
        <w:rPr>
          <w:rFonts w:asciiTheme="majorHAnsi" w:eastAsia="Times New Roman" w:hAnsiTheme="majorHAnsi" w:cstheme="majorHAnsi"/>
          <w:b/>
          <w:bCs/>
          <w:sz w:val="20"/>
          <w:szCs w:val="20"/>
        </w:rPr>
        <w:t>‘beyond GDN remit’ response exposes a gap in policy and thinking around GDNs’ roles</w:t>
      </w:r>
      <w:r w:rsidR="00B54363">
        <w:rPr>
          <w:rFonts w:asciiTheme="majorHAnsi" w:eastAsia="Times New Roman" w:hAnsiTheme="majorHAnsi" w:cstheme="majorHAnsi"/>
          <w:b/>
          <w:bCs/>
          <w:sz w:val="20"/>
          <w:szCs w:val="20"/>
        </w:rPr>
        <w:t>,</w:t>
      </w:r>
      <w:r w:rsidRPr="00195B71">
        <w:rPr>
          <w:rFonts w:asciiTheme="majorHAnsi" w:eastAsia="Times New Roman" w:hAnsiTheme="majorHAnsi" w:cstheme="majorHAnsi"/>
          <w:sz w:val="20"/>
          <w:szCs w:val="20"/>
        </w:rPr>
        <w:t xml:space="preserve"> which remains currently unresolved</w:t>
      </w:r>
      <w:r w:rsidR="00F65AA4" w:rsidRPr="00195B71">
        <w:rPr>
          <w:rFonts w:asciiTheme="majorHAnsi" w:eastAsia="Times New Roman" w:hAnsiTheme="majorHAnsi" w:cstheme="majorHAnsi"/>
          <w:sz w:val="20"/>
          <w:szCs w:val="20"/>
        </w:rPr>
        <w:t>.</w:t>
      </w:r>
      <w:r w:rsidRPr="00195B71">
        <w:rPr>
          <w:rFonts w:asciiTheme="majorHAnsi" w:eastAsia="Times New Roman" w:hAnsiTheme="majorHAnsi" w:cstheme="majorHAnsi"/>
          <w:sz w:val="20"/>
          <w:szCs w:val="20"/>
        </w:rPr>
        <w:t xml:space="preserve"> In the wider context of low carbon transition for domestic households, changing consumer vulnerability, and the emerging policy landscape around the Warm Homes Plan, we felt that initiatives such as Beyond the Meter could be playing a useful role. </w:t>
      </w:r>
      <w:r w:rsidR="00F65AA4" w:rsidRPr="00195B71">
        <w:rPr>
          <w:rFonts w:asciiTheme="majorHAnsi" w:eastAsia="Times New Roman" w:hAnsiTheme="majorHAnsi" w:cstheme="majorHAnsi"/>
          <w:sz w:val="20"/>
          <w:szCs w:val="20"/>
        </w:rPr>
        <w:t>This is n</w:t>
      </w:r>
      <w:r w:rsidRPr="00195B71">
        <w:rPr>
          <w:rFonts w:asciiTheme="majorHAnsi" w:eastAsia="Times New Roman" w:hAnsiTheme="majorHAnsi" w:cstheme="majorHAnsi"/>
          <w:sz w:val="20"/>
          <w:szCs w:val="20"/>
        </w:rPr>
        <w:t>ot least because GDNs are very large, capable, consumer facing, regional energy partners whose resources could be maximised to help customers whilst other solutions are being worked through.</w:t>
      </w:r>
    </w:p>
    <w:p w14:paraId="56831092" w14:textId="0420C802" w:rsidR="0088386B" w:rsidRPr="00195B71" w:rsidRDefault="0088386B" w:rsidP="0088386B">
      <w:pPr>
        <w:pStyle w:val="Default"/>
        <w:numPr>
          <w:ilvl w:val="1"/>
          <w:numId w:val="13"/>
        </w:numPr>
        <w:spacing w:after="120"/>
        <w:ind w:left="1800"/>
        <w:rPr>
          <w:rFonts w:asciiTheme="majorHAnsi" w:eastAsia="Times New Roman" w:hAnsiTheme="majorHAnsi" w:cstheme="majorHAnsi"/>
          <w:sz w:val="20"/>
          <w:szCs w:val="20"/>
        </w:rPr>
      </w:pPr>
      <w:r w:rsidRPr="00195B71">
        <w:rPr>
          <w:rFonts w:asciiTheme="majorHAnsi" w:eastAsia="Times New Roman" w:hAnsiTheme="majorHAnsi" w:cstheme="majorHAnsi"/>
          <w:sz w:val="20"/>
          <w:szCs w:val="20"/>
        </w:rPr>
        <w:t xml:space="preserve">We would not like to see companies being </w:t>
      </w:r>
      <w:r w:rsidRPr="00195B71">
        <w:rPr>
          <w:rFonts w:asciiTheme="majorHAnsi" w:eastAsia="Times New Roman" w:hAnsiTheme="majorHAnsi" w:cstheme="majorHAnsi"/>
          <w:b/>
          <w:bCs/>
          <w:sz w:val="20"/>
          <w:szCs w:val="20"/>
        </w:rPr>
        <w:t>discouraged from bringing forward ideas</w:t>
      </w:r>
      <w:r w:rsidRPr="00195B71">
        <w:rPr>
          <w:rFonts w:asciiTheme="majorHAnsi" w:eastAsia="Times New Roman" w:hAnsiTheme="majorHAnsi" w:cstheme="majorHAnsi"/>
          <w:sz w:val="20"/>
          <w:szCs w:val="20"/>
        </w:rPr>
        <w:t xml:space="preserve">, and whilst of course Ofgem will approve or reject the idea itself, openly penalising proactive behaviour could have the negative effect of inhibiting companies from making future innovative proposals. </w:t>
      </w:r>
      <w:r w:rsidR="00F65AA4" w:rsidRPr="00195B71">
        <w:rPr>
          <w:rFonts w:asciiTheme="majorHAnsi" w:eastAsia="Times New Roman" w:hAnsiTheme="majorHAnsi" w:cstheme="majorHAnsi"/>
          <w:sz w:val="20"/>
          <w:szCs w:val="20"/>
        </w:rPr>
        <w:t>And we believe that t</w:t>
      </w:r>
      <w:r w:rsidRPr="00195B71">
        <w:rPr>
          <w:rFonts w:asciiTheme="majorHAnsi" w:eastAsia="Times New Roman" w:hAnsiTheme="majorHAnsi" w:cstheme="majorHAnsi"/>
          <w:sz w:val="20"/>
          <w:szCs w:val="20"/>
        </w:rPr>
        <w:t xml:space="preserve">his would be to the detriment of customers and the wider sector. </w:t>
      </w:r>
    </w:p>
    <w:p w14:paraId="7DF89DEF" w14:textId="37433B98" w:rsidR="000901FC" w:rsidRPr="00195B71" w:rsidRDefault="000901FC" w:rsidP="00393FC8">
      <w:pPr>
        <w:pStyle w:val="Default"/>
        <w:spacing w:after="120"/>
        <w:ind w:left="709"/>
        <w:rPr>
          <w:rFonts w:asciiTheme="majorHAnsi" w:eastAsia="Times New Roman" w:hAnsiTheme="majorHAnsi" w:cstheme="majorHAnsi"/>
          <w:sz w:val="20"/>
          <w:szCs w:val="20"/>
        </w:rPr>
      </w:pPr>
      <w:r w:rsidRPr="00195B71">
        <w:rPr>
          <w:rFonts w:asciiTheme="majorHAnsi" w:eastAsia="Times New Roman" w:hAnsiTheme="majorHAnsi" w:cstheme="majorHAnsi"/>
          <w:sz w:val="20"/>
          <w:szCs w:val="20"/>
        </w:rPr>
        <w:t>In addition, we wanted to note that Cadent were not asking for additional funding to continue their “Beyond the meter” work but instead wanted to explain their strategy (the cost of which would be absorbed into base cost allowance) as part of the wider Customer Vulnerability strategy, which is a priority both for Ofgem and the sector. W</w:t>
      </w:r>
      <w:r w:rsidR="00F65AA4" w:rsidRPr="00195B71">
        <w:rPr>
          <w:rFonts w:asciiTheme="majorHAnsi" w:eastAsia="Times New Roman" w:hAnsiTheme="majorHAnsi" w:cstheme="majorHAnsi"/>
          <w:sz w:val="20"/>
          <w:szCs w:val="20"/>
        </w:rPr>
        <w:t>e recognise that</w:t>
      </w:r>
      <w:r w:rsidRPr="00195B71">
        <w:rPr>
          <w:rFonts w:asciiTheme="majorHAnsi" w:eastAsia="Times New Roman" w:hAnsiTheme="majorHAnsi" w:cstheme="majorHAnsi"/>
          <w:sz w:val="20"/>
          <w:szCs w:val="20"/>
        </w:rPr>
        <w:t xml:space="preserve"> spending funds to help a limited number of customers in vulnerable situations</w:t>
      </w:r>
      <w:r w:rsidR="00F65AA4" w:rsidRPr="00195B71">
        <w:rPr>
          <w:rFonts w:asciiTheme="majorHAnsi" w:eastAsia="Times New Roman" w:hAnsiTheme="majorHAnsi" w:cstheme="majorHAnsi"/>
          <w:sz w:val="20"/>
          <w:szCs w:val="20"/>
        </w:rPr>
        <w:t xml:space="preserve"> could be viewed as contentious. However w</w:t>
      </w:r>
      <w:r w:rsidRPr="00195B71">
        <w:rPr>
          <w:rFonts w:asciiTheme="majorHAnsi" w:eastAsia="Times New Roman" w:hAnsiTheme="majorHAnsi" w:cstheme="majorHAnsi"/>
          <w:sz w:val="20"/>
          <w:szCs w:val="20"/>
        </w:rPr>
        <w:t>e do feel</w:t>
      </w:r>
      <w:r w:rsidR="00F65AA4" w:rsidRPr="00195B71">
        <w:rPr>
          <w:rFonts w:asciiTheme="majorHAnsi" w:eastAsia="Times New Roman" w:hAnsiTheme="majorHAnsi" w:cstheme="majorHAnsi"/>
          <w:sz w:val="20"/>
          <w:szCs w:val="20"/>
        </w:rPr>
        <w:t xml:space="preserve"> strongly that the risk of being penalised for even outlining a proposed approach</w:t>
      </w:r>
      <w:r w:rsidRPr="00195B71">
        <w:rPr>
          <w:rFonts w:asciiTheme="majorHAnsi" w:eastAsia="Times New Roman" w:hAnsiTheme="majorHAnsi" w:cstheme="majorHAnsi"/>
          <w:sz w:val="20"/>
          <w:szCs w:val="20"/>
        </w:rPr>
        <w:t xml:space="preserve"> carries a </w:t>
      </w:r>
      <w:r w:rsidR="00F65AA4" w:rsidRPr="00195B71">
        <w:rPr>
          <w:rFonts w:asciiTheme="majorHAnsi" w:eastAsia="Times New Roman" w:hAnsiTheme="majorHAnsi" w:cstheme="majorHAnsi"/>
          <w:sz w:val="20"/>
          <w:szCs w:val="20"/>
        </w:rPr>
        <w:t>high</w:t>
      </w:r>
      <w:r w:rsidRPr="00195B71">
        <w:rPr>
          <w:rFonts w:asciiTheme="majorHAnsi" w:eastAsia="Times New Roman" w:hAnsiTheme="majorHAnsi" w:cstheme="majorHAnsi"/>
          <w:sz w:val="20"/>
          <w:szCs w:val="20"/>
        </w:rPr>
        <w:t xml:space="preserve"> reputation</w:t>
      </w:r>
      <w:r w:rsidR="00F65AA4" w:rsidRPr="00195B71">
        <w:rPr>
          <w:rFonts w:asciiTheme="majorHAnsi" w:eastAsia="Times New Roman" w:hAnsiTheme="majorHAnsi" w:cstheme="majorHAnsi"/>
          <w:sz w:val="20"/>
          <w:szCs w:val="20"/>
        </w:rPr>
        <w:t>al</w:t>
      </w:r>
      <w:r w:rsidRPr="00195B71">
        <w:rPr>
          <w:rFonts w:asciiTheme="majorHAnsi" w:eastAsia="Times New Roman" w:hAnsiTheme="majorHAnsi" w:cstheme="majorHAnsi"/>
          <w:sz w:val="20"/>
          <w:szCs w:val="20"/>
        </w:rPr>
        <w:t xml:space="preserve"> risk </w:t>
      </w:r>
      <w:r w:rsidR="00F65AA4" w:rsidRPr="00195B71">
        <w:rPr>
          <w:rFonts w:asciiTheme="majorHAnsi" w:eastAsia="Times New Roman" w:hAnsiTheme="majorHAnsi" w:cstheme="majorHAnsi"/>
          <w:sz w:val="20"/>
          <w:szCs w:val="20"/>
        </w:rPr>
        <w:t>and may deter</w:t>
      </w:r>
      <w:r w:rsidRPr="00195B71">
        <w:rPr>
          <w:rFonts w:asciiTheme="majorHAnsi" w:eastAsia="Times New Roman" w:hAnsiTheme="majorHAnsi" w:cstheme="majorHAnsi"/>
          <w:b/>
          <w:bCs/>
          <w:sz w:val="20"/>
          <w:szCs w:val="20"/>
        </w:rPr>
        <w:t xml:space="preserve"> company’s attempts to </w:t>
      </w:r>
      <w:r w:rsidR="00F65AA4" w:rsidRPr="00195B71">
        <w:rPr>
          <w:rFonts w:asciiTheme="majorHAnsi" w:eastAsia="Times New Roman" w:hAnsiTheme="majorHAnsi" w:cstheme="majorHAnsi"/>
          <w:b/>
          <w:bCs/>
          <w:sz w:val="20"/>
          <w:szCs w:val="20"/>
        </w:rPr>
        <w:lastRenderedPageBreak/>
        <w:t xml:space="preserve">actively consider ways to </w:t>
      </w:r>
      <w:r w:rsidRPr="00195B71">
        <w:rPr>
          <w:rFonts w:asciiTheme="majorHAnsi" w:eastAsia="Times New Roman" w:hAnsiTheme="majorHAnsi" w:cstheme="majorHAnsi"/>
          <w:b/>
          <w:bCs/>
          <w:sz w:val="20"/>
          <w:szCs w:val="20"/>
        </w:rPr>
        <w:t>help customers</w:t>
      </w:r>
      <w:r w:rsidR="00F65AA4" w:rsidRPr="00195B71">
        <w:rPr>
          <w:rFonts w:asciiTheme="majorHAnsi" w:eastAsia="Times New Roman" w:hAnsiTheme="majorHAnsi" w:cstheme="majorHAnsi"/>
          <w:sz w:val="20"/>
          <w:szCs w:val="20"/>
        </w:rPr>
        <w:t>. We consider that Ofgem could instead reject Cadent’s proposal</w:t>
      </w:r>
      <w:r w:rsidRPr="00195B71">
        <w:rPr>
          <w:rFonts w:asciiTheme="majorHAnsi" w:eastAsia="Times New Roman" w:hAnsiTheme="majorHAnsi" w:cstheme="majorHAnsi"/>
          <w:sz w:val="20"/>
          <w:szCs w:val="20"/>
        </w:rPr>
        <w:t xml:space="preserve"> without </w:t>
      </w:r>
      <w:r w:rsidR="00F65AA4" w:rsidRPr="00195B71">
        <w:rPr>
          <w:rFonts w:asciiTheme="majorHAnsi" w:eastAsia="Times New Roman" w:hAnsiTheme="majorHAnsi" w:cstheme="majorHAnsi"/>
          <w:sz w:val="20"/>
          <w:szCs w:val="20"/>
        </w:rPr>
        <w:t>applying a penalty</w:t>
      </w:r>
      <w:r w:rsidRPr="00195B71">
        <w:rPr>
          <w:rFonts w:asciiTheme="majorHAnsi" w:eastAsia="Times New Roman" w:hAnsiTheme="majorHAnsi" w:cstheme="majorHAnsi"/>
          <w:sz w:val="20"/>
          <w:szCs w:val="20"/>
        </w:rPr>
        <w:t>.</w:t>
      </w:r>
    </w:p>
    <w:p w14:paraId="41B111C4" w14:textId="547740AA" w:rsidR="000901FC" w:rsidRPr="00393FC8" w:rsidRDefault="000901FC" w:rsidP="00393FC8">
      <w:pPr>
        <w:pStyle w:val="Default"/>
        <w:spacing w:after="120"/>
        <w:ind w:left="709"/>
        <w:rPr>
          <w:rFonts w:asciiTheme="majorHAnsi" w:eastAsia="Times New Roman" w:hAnsiTheme="majorHAnsi" w:cstheme="majorHAnsi"/>
          <w:sz w:val="20"/>
          <w:szCs w:val="20"/>
          <w:highlight w:val="yellow"/>
        </w:rPr>
      </w:pPr>
    </w:p>
    <w:p w14:paraId="1AB45A8A" w14:textId="3BCEFC3D" w:rsidR="0038639C" w:rsidRDefault="0038639C">
      <w:pPr>
        <w:rPr>
          <w:rFonts w:eastAsia="Times New Roman" w:cstheme="minorHAnsi"/>
          <w:b/>
          <w:bCs/>
          <w:sz w:val="20"/>
          <w:szCs w:val="20"/>
        </w:rPr>
      </w:pPr>
    </w:p>
    <w:p w14:paraId="1BDF0FC3" w14:textId="79D5D0B3" w:rsidR="002F5362" w:rsidRPr="00156B07" w:rsidRDefault="002F5362" w:rsidP="00156B07">
      <w:pPr>
        <w:ind w:left="360"/>
        <w:rPr>
          <w:rFonts w:eastAsia="Times New Roman" w:cstheme="minorHAnsi"/>
          <w:sz w:val="20"/>
          <w:szCs w:val="20"/>
        </w:rPr>
      </w:pPr>
      <w:r w:rsidRPr="00156B07">
        <w:rPr>
          <w:rFonts w:eastAsia="Times New Roman" w:cstheme="minorHAnsi"/>
          <w:b/>
          <w:bCs/>
          <w:sz w:val="20"/>
          <w:szCs w:val="20"/>
        </w:rPr>
        <w:t>CADQ16. Do you agree with our proposed level of funding for Cadent's data and digitalisation investments</w:t>
      </w:r>
      <w:r w:rsidRPr="00156B07">
        <w:rPr>
          <w:rFonts w:eastAsia="Times New Roman" w:cstheme="minorHAnsi"/>
          <w:sz w:val="20"/>
          <w:szCs w:val="20"/>
        </w:rPr>
        <w:t>?</w:t>
      </w:r>
    </w:p>
    <w:p w14:paraId="71608A83" w14:textId="1913BF5A" w:rsidR="00E16879" w:rsidRPr="00E16879" w:rsidRDefault="00E16879" w:rsidP="00E16879">
      <w:pPr>
        <w:pStyle w:val="ListParagraph"/>
        <w:spacing w:after="120"/>
        <w:contextualSpacing w:val="0"/>
        <w:rPr>
          <w:rFonts w:asciiTheme="majorHAnsi" w:eastAsia="Times New Roman" w:hAnsiTheme="majorHAnsi" w:cstheme="majorHAnsi"/>
          <w:sz w:val="20"/>
          <w:szCs w:val="20"/>
        </w:rPr>
      </w:pPr>
      <w:r w:rsidRPr="001E1820">
        <w:rPr>
          <w:rFonts w:asciiTheme="majorHAnsi" w:eastAsia="Times New Roman" w:hAnsiTheme="majorHAnsi" w:cstheme="majorHAnsi"/>
          <w:b/>
          <w:bCs/>
          <w:sz w:val="20"/>
          <w:szCs w:val="20"/>
        </w:rPr>
        <w:t>No</w:t>
      </w:r>
      <w:r w:rsidR="00146FB7">
        <w:rPr>
          <w:rFonts w:asciiTheme="majorHAnsi" w:eastAsia="Times New Roman" w:hAnsiTheme="majorHAnsi" w:cstheme="majorHAnsi"/>
          <w:b/>
          <w:bCs/>
          <w:sz w:val="20"/>
          <w:szCs w:val="20"/>
        </w:rPr>
        <w:t xml:space="preserve"> </w:t>
      </w:r>
      <w:r w:rsidR="00146FB7">
        <w:rPr>
          <w:rFonts w:asciiTheme="majorHAnsi" w:eastAsia="Times New Roman" w:hAnsiTheme="majorHAnsi" w:cstheme="majorHAnsi"/>
          <w:sz w:val="20"/>
          <w:szCs w:val="20"/>
        </w:rPr>
        <w:t>we</w:t>
      </w:r>
      <w:r w:rsidRPr="00E16879">
        <w:rPr>
          <w:rFonts w:asciiTheme="majorHAnsi" w:eastAsia="Times New Roman" w:hAnsiTheme="majorHAnsi" w:cstheme="majorHAnsi"/>
          <w:sz w:val="20"/>
          <w:szCs w:val="20"/>
        </w:rPr>
        <w:t xml:space="preserve"> </w:t>
      </w:r>
      <w:r w:rsidRPr="00E16879">
        <w:rPr>
          <w:rFonts w:asciiTheme="majorHAnsi" w:eastAsia="Times New Roman" w:hAnsiTheme="majorHAnsi" w:cstheme="majorHAnsi"/>
          <w:b/>
          <w:bCs/>
          <w:sz w:val="20"/>
          <w:szCs w:val="20"/>
        </w:rPr>
        <w:t>do not agree that the 40% cut (£12M) to the proposed Data and Digitalisation budget is justified or appropriate</w:t>
      </w:r>
      <w:r w:rsidRPr="00E16879">
        <w:rPr>
          <w:rFonts w:asciiTheme="majorHAnsi" w:eastAsia="Times New Roman" w:hAnsiTheme="majorHAnsi" w:cstheme="majorHAnsi"/>
          <w:sz w:val="20"/>
          <w:szCs w:val="20"/>
        </w:rPr>
        <w:t xml:space="preserve">. </w:t>
      </w:r>
      <w:r w:rsidR="00146FB7">
        <w:rPr>
          <w:rFonts w:asciiTheme="majorHAnsi" w:eastAsia="Times New Roman" w:hAnsiTheme="majorHAnsi" w:cstheme="majorHAnsi"/>
          <w:sz w:val="20"/>
          <w:szCs w:val="20"/>
        </w:rPr>
        <w:t>We</w:t>
      </w:r>
      <w:r w:rsidRPr="00E16879">
        <w:rPr>
          <w:rFonts w:asciiTheme="majorHAnsi" w:eastAsia="Times New Roman" w:hAnsiTheme="majorHAnsi" w:cstheme="majorHAnsi"/>
          <w:sz w:val="20"/>
          <w:szCs w:val="20"/>
        </w:rPr>
        <w:t xml:space="preserve"> believe that Cadent have clearly articulated the </w:t>
      </w:r>
      <w:r w:rsidRPr="00E16879">
        <w:rPr>
          <w:rFonts w:asciiTheme="majorHAnsi" w:eastAsia="Times New Roman" w:hAnsiTheme="majorHAnsi" w:cstheme="majorHAnsi"/>
          <w:b/>
          <w:bCs/>
          <w:sz w:val="20"/>
          <w:szCs w:val="20"/>
        </w:rPr>
        <w:t>internal operational requirements</w:t>
      </w:r>
      <w:r w:rsidRPr="00E16879">
        <w:rPr>
          <w:rFonts w:asciiTheme="majorHAnsi" w:eastAsia="Times New Roman" w:hAnsiTheme="majorHAnsi" w:cstheme="majorHAnsi"/>
          <w:sz w:val="20"/>
          <w:szCs w:val="20"/>
        </w:rPr>
        <w:t xml:space="preserve"> of their D</w:t>
      </w:r>
      <w:r w:rsidR="00146FB7">
        <w:rPr>
          <w:rFonts w:asciiTheme="majorHAnsi" w:eastAsia="Times New Roman" w:hAnsiTheme="majorHAnsi" w:cstheme="majorHAnsi"/>
          <w:sz w:val="20"/>
          <w:szCs w:val="20"/>
        </w:rPr>
        <w:t xml:space="preserve">ata and </w:t>
      </w:r>
      <w:r w:rsidRPr="00E16879">
        <w:rPr>
          <w:rFonts w:asciiTheme="majorHAnsi" w:eastAsia="Times New Roman" w:hAnsiTheme="majorHAnsi" w:cstheme="majorHAnsi"/>
          <w:sz w:val="20"/>
          <w:szCs w:val="20"/>
        </w:rPr>
        <w:t>D</w:t>
      </w:r>
      <w:r w:rsidR="00146FB7">
        <w:rPr>
          <w:rFonts w:asciiTheme="majorHAnsi" w:eastAsia="Times New Roman" w:hAnsiTheme="majorHAnsi" w:cstheme="majorHAnsi"/>
          <w:sz w:val="20"/>
          <w:szCs w:val="20"/>
        </w:rPr>
        <w:t>igit</w:t>
      </w:r>
      <w:r w:rsidR="00195B71">
        <w:rPr>
          <w:rFonts w:asciiTheme="majorHAnsi" w:eastAsia="Times New Roman" w:hAnsiTheme="majorHAnsi" w:cstheme="majorHAnsi"/>
          <w:sz w:val="20"/>
          <w:szCs w:val="20"/>
        </w:rPr>
        <w:t>a</w:t>
      </w:r>
      <w:r w:rsidR="00146FB7">
        <w:rPr>
          <w:rFonts w:asciiTheme="majorHAnsi" w:eastAsia="Times New Roman" w:hAnsiTheme="majorHAnsi" w:cstheme="majorHAnsi"/>
          <w:sz w:val="20"/>
          <w:szCs w:val="20"/>
        </w:rPr>
        <w:t>lisation</w:t>
      </w:r>
      <w:r w:rsidRPr="00E16879">
        <w:rPr>
          <w:rFonts w:asciiTheme="majorHAnsi" w:eastAsia="Times New Roman" w:hAnsiTheme="majorHAnsi" w:cstheme="majorHAnsi"/>
          <w:sz w:val="20"/>
          <w:szCs w:val="20"/>
        </w:rPr>
        <w:t xml:space="preserve"> budget. In addition, they have clearly communicated how key elements of their plan, such as the request for the Unified Asset Investment Portfolio Management tool – would interface with </w:t>
      </w:r>
      <w:r w:rsidRPr="00E16879">
        <w:rPr>
          <w:rFonts w:asciiTheme="majorHAnsi" w:eastAsia="Times New Roman" w:hAnsiTheme="majorHAnsi" w:cstheme="majorHAnsi"/>
          <w:b/>
          <w:bCs/>
          <w:sz w:val="20"/>
          <w:szCs w:val="20"/>
        </w:rPr>
        <w:t>key external programmes</w:t>
      </w:r>
      <w:r w:rsidRPr="00E16879">
        <w:rPr>
          <w:rFonts w:asciiTheme="majorHAnsi" w:eastAsia="Times New Roman" w:hAnsiTheme="majorHAnsi" w:cstheme="majorHAnsi"/>
          <w:sz w:val="20"/>
          <w:szCs w:val="20"/>
        </w:rPr>
        <w:t xml:space="preserve"> (e.g. RESP) lead by NESO. </w:t>
      </w:r>
      <w:r>
        <w:rPr>
          <w:rFonts w:asciiTheme="majorHAnsi" w:eastAsia="Times New Roman" w:hAnsiTheme="majorHAnsi" w:cstheme="majorHAnsi"/>
          <w:sz w:val="20"/>
          <w:szCs w:val="20"/>
        </w:rPr>
        <w:t>Further</w:t>
      </w:r>
      <w:r w:rsidRPr="00E16879">
        <w:rPr>
          <w:rFonts w:asciiTheme="majorHAnsi" w:eastAsia="Times New Roman" w:hAnsiTheme="majorHAnsi" w:cstheme="majorHAnsi"/>
          <w:sz w:val="20"/>
          <w:szCs w:val="20"/>
        </w:rPr>
        <w:t xml:space="preserve">, given the emergence of the integration architecture (National Digital Twin Programme), ontologies for network integration, growing interactions with the NCSC etc., there is a need to recognise the resource request within the proposed plan, which enables Cadent to both </w:t>
      </w:r>
      <w:r w:rsidR="00146FB7">
        <w:rPr>
          <w:rFonts w:asciiTheme="majorHAnsi" w:eastAsia="Times New Roman" w:hAnsiTheme="majorHAnsi" w:cstheme="majorHAnsi"/>
          <w:sz w:val="20"/>
          <w:szCs w:val="20"/>
        </w:rPr>
        <w:t xml:space="preserve">help </w:t>
      </w:r>
      <w:r w:rsidRPr="00E16879">
        <w:rPr>
          <w:rFonts w:asciiTheme="majorHAnsi" w:eastAsia="Times New Roman" w:hAnsiTheme="majorHAnsi" w:cstheme="majorHAnsi"/>
          <w:sz w:val="20"/>
          <w:szCs w:val="20"/>
        </w:rPr>
        <w:t>build capability within the sector, and ensuring its implementation within Cadent.</w:t>
      </w:r>
    </w:p>
    <w:p w14:paraId="755EC2C7" w14:textId="2AE23263" w:rsidR="00093652" w:rsidRDefault="00E16879" w:rsidP="00E16879">
      <w:pPr>
        <w:pStyle w:val="ListParagraph"/>
        <w:spacing w:after="120"/>
        <w:contextualSpacing w:val="0"/>
        <w:rPr>
          <w:rFonts w:asciiTheme="majorHAnsi" w:eastAsia="Times New Roman" w:hAnsiTheme="majorHAnsi" w:cstheme="majorHAnsi"/>
          <w:sz w:val="20"/>
          <w:szCs w:val="20"/>
        </w:rPr>
      </w:pPr>
      <w:r w:rsidRPr="00E16879">
        <w:rPr>
          <w:rFonts w:asciiTheme="majorHAnsi" w:eastAsia="Times New Roman" w:hAnsiTheme="majorHAnsi" w:cstheme="majorHAnsi"/>
          <w:sz w:val="20"/>
          <w:szCs w:val="20"/>
        </w:rPr>
        <w:t xml:space="preserve">Furthermore, </w:t>
      </w:r>
      <w:r w:rsidR="00146FB7">
        <w:rPr>
          <w:rFonts w:asciiTheme="majorHAnsi" w:eastAsia="Times New Roman" w:hAnsiTheme="majorHAnsi" w:cstheme="majorHAnsi"/>
          <w:sz w:val="20"/>
          <w:szCs w:val="20"/>
        </w:rPr>
        <w:t>we</w:t>
      </w:r>
      <w:r w:rsidRPr="00E16879">
        <w:rPr>
          <w:rFonts w:asciiTheme="majorHAnsi" w:eastAsia="Times New Roman" w:hAnsiTheme="majorHAnsi" w:cstheme="majorHAnsi"/>
          <w:sz w:val="20"/>
          <w:szCs w:val="20"/>
        </w:rPr>
        <w:t xml:space="preserve"> believe that there will be a financial burden with respect to </w:t>
      </w:r>
      <w:r w:rsidRPr="00E16879">
        <w:rPr>
          <w:rFonts w:asciiTheme="majorHAnsi" w:eastAsia="Times New Roman" w:hAnsiTheme="majorHAnsi" w:cstheme="majorHAnsi"/>
          <w:b/>
          <w:bCs/>
          <w:sz w:val="20"/>
          <w:szCs w:val="20"/>
        </w:rPr>
        <w:t>building secure supply chain provenance</w:t>
      </w:r>
      <w:r w:rsidRPr="00E16879">
        <w:rPr>
          <w:rFonts w:asciiTheme="majorHAnsi" w:eastAsia="Times New Roman" w:hAnsiTheme="majorHAnsi" w:cstheme="majorHAnsi"/>
          <w:sz w:val="20"/>
          <w:szCs w:val="20"/>
        </w:rPr>
        <w:t xml:space="preserve"> in the provision of data and digital technology products and services. This will restrict open market competition, and there needs to be a budget that accounts for increased cost and investment in building supply chain capability and capacity</w:t>
      </w:r>
      <w:r w:rsidR="00146FB7">
        <w:rPr>
          <w:rFonts w:asciiTheme="majorHAnsi" w:eastAsia="Times New Roman" w:hAnsiTheme="majorHAnsi" w:cstheme="majorHAnsi"/>
          <w:sz w:val="20"/>
          <w:szCs w:val="20"/>
        </w:rPr>
        <w:t>.</w:t>
      </w:r>
    </w:p>
    <w:sectPr w:rsidR="00093652" w:rsidSect="00B54409">
      <w:headerReference w:type="default" r:id="rId11"/>
      <w:footerReference w:type="default" r:id="rId12"/>
      <w:pgSz w:w="11906" w:h="16838"/>
      <w:pgMar w:top="436" w:right="991" w:bottom="1440" w:left="1440" w:header="389" w:footer="421"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291205B" w15:done="0"/>
  <w15:commentEx w15:paraId="1FEC040E" w15:paraIdParent="6291205B" w15:done="0"/>
  <w15:commentEx w15:paraId="15D6A0D7" w15:done="0"/>
  <w15:commentEx w15:paraId="12AF5822" w15:paraIdParent="15D6A0D7" w15:done="0"/>
  <w15:commentEx w15:paraId="4FB5C52E" w15:done="0"/>
  <w15:commentEx w15:paraId="723286C9" w15:paraIdParent="4FB5C52E" w15:done="0"/>
  <w15:commentEx w15:paraId="2A82B644" w15:done="0"/>
  <w15:commentEx w15:paraId="6A3F9178" w15:done="0"/>
  <w15:commentEx w15:paraId="265CFEFC" w15:paraIdParent="6A3F9178" w15:done="0"/>
  <w15:commentEx w15:paraId="7D108CE3" w15:done="0"/>
  <w15:commentEx w15:paraId="6536BFE7" w15:done="0"/>
  <w15:commentEx w15:paraId="5B3B948B" w15:paraIdParent="6536BFE7" w15:done="0"/>
  <w15:commentEx w15:paraId="7E460BEF" w15:done="0"/>
  <w15:commentEx w15:paraId="7348AA98" w15:done="0"/>
  <w15:commentEx w15:paraId="34D25FDC" w15:paraIdParent="7348AA98" w15:done="0"/>
  <w15:commentEx w15:paraId="786BC3D6" w15:done="0"/>
  <w15:commentEx w15:paraId="2AE018E9" w15:done="0"/>
  <w15:commentEx w15:paraId="1C11AD66" w15:paraIdParent="2AE018E9" w15:done="0"/>
  <w15:commentEx w15:paraId="6F7196D2" w15:paraIdParent="2AE018E9" w15:done="0"/>
  <w15:commentEx w15:paraId="637B82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D7EAD25" w16cex:dateUtc="2025-08-22T14:05:00Z"/>
  <w16cex:commentExtensible w16cex:durableId="7F8ACF22" w16cex:dateUtc="2025-08-22T14:06:00Z"/>
  <w16cex:commentExtensible w16cex:durableId="259D49F7" w16cex:dateUtc="2025-08-22T14:07:00Z"/>
  <w16cex:commentExtensible w16cex:durableId="017C4D7F" w16cex:dateUtc="2025-08-22T14:08:00Z"/>
  <w16cex:commentExtensible w16cex:durableId="4A6098E9" w16cex:dateUtc="2025-08-22T14:10:00Z"/>
  <w16cex:commentExtensible w16cex:durableId="2C48C5B0" w16cex:dateUtc="2025-08-14T19:29:00Z"/>
  <w16cex:commentExtensible w16cex:durableId="1C865FFC" w16cex:dateUtc="2025-08-22T14:12:00Z"/>
  <w16cex:commentExtensible w16cex:durableId="33A25B83" w16cex:dateUtc="2025-08-21T10:08:00Z"/>
  <w16cex:commentExtensible w16cex:durableId="0E659D45" w16cex:dateUtc="2025-08-21T10:13:00Z"/>
  <w16cex:commentExtensible w16cex:durableId="1AE9BA4C" w16cex:dateUtc="2025-08-22T14:11:00Z"/>
  <w16cex:commentExtensible w16cex:durableId="0B410CE1" w16cex:dateUtc="2025-08-22T1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291205B" w16cid:durableId="6291205B"/>
  <w16cid:commentId w16cid:paraId="1FEC040E" w16cid:durableId="4D7EAD25"/>
  <w16cid:commentId w16cid:paraId="15D6A0D7" w16cid:durableId="15D6A0D7"/>
  <w16cid:commentId w16cid:paraId="12AF5822" w16cid:durableId="7F8ACF22"/>
  <w16cid:commentId w16cid:paraId="4FB5C52E" w16cid:durableId="4FB5C52E"/>
  <w16cid:commentId w16cid:paraId="723286C9" w16cid:durableId="259D49F7"/>
  <w16cid:commentId w16cid:paraId="2A82B644" w16cid:durableId="2A82B644"/>
  <w16cid:commentId w16cid:paraId="6A3F9178" w16cid:durableId="6A3F9178"/>
  <w16cid:commentId w16cid:paraId="265CFEFC" w16cid:durableId="017C4D7F"/>
  <w16cid:commentId w16cid:paraId="7D108CE3" w16cid:durableId="7D108CE3"/>
  <w16cid:commentId w16cid:paraId="6536BFE7" w16cid:durableId="6536BFE7"/>
  <w16cid:commentId w16cid:paraId="5B3B948B" w16cid:durableId="4A6098E9"/>
  <w16cid:commentId w16cid:paraId="7E460BEF" w16cid:durableId="7E460BEF"/>
  <w16cid:commentId w16cid:paraId="7348AA98" w16cid:durableId="2C48C5B0"/>
  <w16cid:commentId w16cid:paraId="34D25FDC" w16cid:durableId="1C865FFC"/>
  <w16cid:commentId w16cid:paraId="786BC3D6" w16cid:durableId="786BC3D6"/>
  <w16cid:commentId w16cid:paraId="2AE018E9" w16cid:durableId="33A25B83"/>
  <w16cid:commentId w16cid:paraId="1C11AD66" w16cid:durableId="0E659D45"/>
  <w16cid:commentId w16cid:paraId="6F7196D2" w16cid:durableId="1AE9BA4C"/>
  <w16cid:commentId w16cid:paraId="637B8268" w16cid:durableId="0B410CE1"/>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6510A8" w14:textId="77777777" w:rsidR="00984181" w:rsidRDefault="00984181" w:rsidP="006A622B">
      <w:pPr>
        <w:spacing w:after="0" w:line="240" w:lineRule="auto"/>
      </w:pPr>
      <w:r>
        <w:separator/>
      </w:r>
    </w:p>
  </w:endnote>
  <w:endnote w:type="continuationSeparator" w:id="0">
    <w:p w14:paraId="21A6B12C" w14:textId="77777777" w:rsidR="00984181" w:rsidRDefault="00984181" w:rsidP="006A6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Segoe UI">
    <w:altName w:val="Times New Roman"/>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41AE2" w14:textId="77777777" w:rsidR="00984181" w:rsidRDefault="00984181">
    <w:pPr>
      <w:pStyle w:val="Footer"/>
      <w:jc w:val="right"/>
    </w:pPr>
    <w:r>
      <w:rPr>
        <w:noProof/>
        <w:lang w:val="en-US"/>
      </w:rPr>
      <w:drawing>
        <wp:anchor distT="0" distB="0" distL="114300" distR="114300" simplePos="0" relativeHeight="251658240" behindDoc="0" locked="0" layoutInCell="1" allowOverlap="1" wp14:anchorId="5AA47795" wp14:editId="728C8656">
          <wp:simplePos x="0" y="0"/>
          <wp:positionH relativeFrom="column">
            <wp:posOffset>-680085</wp:posOffset>
          </wp:positionH>
          <wp:positionV relativeFrom="paragraph">
            <wp:posOffset>-180074</wp:posOffset>
          </wp:positionV>
          <wp:extent cx="1095154" cy="53832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CG logo 1 high res.png"/>
                  <pic:cNvPicPr/>
                </pic:nvPicPr>
                <pic:blipFill rotWithShape="1">
                  <a:blip r:embed="rId1">
                    <a:extLst>
                      <a:ext uri="{28A0092B-C50C-407E-A947-70E740481C1C}">
                        <a14:useLocalDpi xmlns:a14="http://schemas.microsoft.com/office/drawing/2010/main" val="0"/>
                      </a:ext>
                    </a:extLst>
                  </a:blip>
                  <a:srcRect t="22849" b="27996"/>
                  <a:stretch/>
                </pic:blipFill>
                <pic:spPr bwMode="auto">
                  <a:xfrm>
                    <a:off x="0" y="0"/>
                    <a:ext cx="1095154" cy="53832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id w:val="-9277225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E7742">
          <w:rPr>
            <w:noProof/>
          </w:rPr>
          <w:t>1</w:t>
        </w:r>
        <w:r>
          <w:rPr>
            <w:noProof/>
          </w:rPr>
          <w:fldChar w:fldCharType="end"/>
        </w:r>
      </w:sdtContent>
    </w:sdt>
  </w:p>
  <w:p w14:paraId="1447F80B" w14:textId="77777777" w:rsidR="00984181" w:rsidRDefault="0098418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4CB40" w14:textId="77777777" w:rsidR="00984181" w:rsidRDefault="00984181" w:rsidP="006A622B">
      <w:pPr>
        <w:spacing w:after="0" w:line="240" w:lineRule="auto"/>
      </w:pPr>
      <w:r>
        <w:separator/>
      </w:r>
    </w:p>
  </w:footnote>
  <w:footnote w:type="continuationSeparator" w:id="0">
    <w:p w14:paraId="7D0BC070" w14:textId="77777777" w:rsidR="00984181" w:rsidRDefault="00984181" w:rsidP="006A622B">
      <w:pPr>
        <w:spacing w:after="0" w:line="240" w:lineRule="auto"/>
      </w:pPr>
      <w:r>
        <w:continuationSeparator/>
      </w:r>
    </w:p>
  </w:footnote>
  <w:footnote w:id="1">
    <w:p w14:paraId="46EEAE82" w14:textId="4A4D0AD6" w:rsidR="00984181" w:rsidRPr="00072C0B" w:rsidRDefault="00984181">
      <w:pPr>
        <w:pStyle w:val="FootnoteText"/>
        <w:rPr>
          <w:sz w:val="18"/>
          <w:szCs w:val="18"/>
          <w:lang w:val="en-US"/>
        </w:rPr>
      </w:pPr>
      <w:r w:rsidRPr="00072C0B">
        <w:rPr>
          <w:rStyle w:val="FootnoteReference"/>
          <w:sz w:val="18"/>
          <w:szCs w:val="18"/>
        </w:rPr>
        <w:footnoteRef/>
      </w:r>
      <w:r w:rsidRPr="00072C0B">
        <w:rPr>
          <w:sz w:val="18"/>
          <w:szCs w:val="18"/>
        </w:rPr>
        <w:t xml:space="preserve"> </w:t>
      </w:r>
      <w:r w:rsidRPr="00072C0B">
        <w:rPr>
          <w:rFonts w:ascii="Calibri Light" w:eastAsia="Times New Roman" w:hAnsi="Calibri Light" w:cs="Calibri Light"/>
          <w:sz w:val="18"/>
          <w:szCs w:val="18"/>
        </w:rPr>
        <w:t xml:space="preserve">Ref: The Enhanced Engagement Framework in the RIIO-3 Business Plan Guidance, 30 Sep 2024 </w:t>
      </w:r>
      <w:hyperlink r:id="rId1" w:history="1">
        <w:r w:rsidRPr="00072C0B">
          <w:rPr>
            <w:rStyle w:val="Hyperlink"/>
            <w:rFonts w:ascii="Calibri Light" w:eastAsia="Times New Roman" w:hAnsi="Calibri Light" w:cs="Calibri Light"/>
            <w:sz w:val="18"/>
            <w:szCs w:val="18"/>
          </w:rPr>
          <w:t>https://www.ofgem.gov.uk/guidance/riio-3-business-plan-guidance</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4732D" w14:textId="77777777" w:rsidR="00984181" w:rsidRDefault="00984181" w:rsidP="006A622B">
    <w:pPr>
      <w:pStyle w:val="Header"/>
      <w:jc w:val="right"/>
    </w:pPr>
  </w:p>
  <w:p w14:paraId="08533B4D" w14:textId="77777777" w:rsidR="00984181" w:rsidRDefault="00984181" w:rsidP="006A622B">
    <w:pPr>
      <w:pStyle w:val="Header"/>
      <w:jc w:val="right"/>
    </w:pPr>
  </w:p>
  <w:p w14:paraId="7C16A40E" w14:textId="77777777" w:rsidR="00984181" w:rsidRDefault="00984181" w:rsidP="006A622B">
    <w:pPr>
      <w:pStyle w:val="Header"/>
      <w:jc w:val="right"/>
    </w:pPr>
  </w:p>
  <w:p w14:paraId="0BA097F0" w14:textId="77777777" w:rsidR="00984181" w:rsidRDefault="00984181"/>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2197D"/>
    <w:multiLevelType w:val="hybridMultilevel"/>
    <w:tmpl w:val="3FE8FACA"/>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11DB2B7A"/>
    <w:multiLevelType w:val="hybridMultilevel"/>
    <w:tmpl w:val="4B6CEC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3E032B2"/>
    <w:multiLevelType w:val="hybridMultilevel"/>
    <w:tmpl w:val="1EA291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BB47DDC"/>
    <w:multiLevelType w:val="hybridMultilevel"/>
    <w:tmpl w:val="60DEAED8"/>
    <w:lvl w:ilvl="0" w:tplc="3B603F1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C937606"/>
    <w:multiLevelType w:val="hybridMultilevel"/>
    <w:tmpl w:val="382AFE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CFF1F3F"/>
    <w:multiLevelType w:val="hybridMultilevel"/>
    <w:tmpl w:val="EF5C591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0E1CC34"/>
    <w:multiLevelType w:val="hybridMultilevel"/>
    <w:tmpl w:val="FD740484"/>
    <w:lvl w:ilvl="0" w:tplc="B3DEE05C">
      <w:start w:val="1"/>
      <w:numFmt w:val="bullet"/>
      <w:lvlText w:val=""/>
      <w:lvlJc w:val="left"/>
      <w:pPr>
        <w:ind w:left="720" w:hanging="360"/>
      </w:pPr>
      <w:rPr>
        <w:rFonts w:ascii="Symbol" w:hAnsi="Symbol" w:hint="default"/>
      </w:rPr>
    </w:lvl>
    <w:lvl w:ilvl="1" w:tplc="BB949C04">
      <w:start w:val="1"/>
      <w:numFmt w:val="bullet"/>
      <w:lvlText w:val="o"/>
      <w:lvlJc w:val="left"/>
      <w:pPr>
        <w:ind w:left="1440" w:hanging="360"/>
      </w:pPr>
      <w:rPr>
        <w:rFonts w:ascii="Courier New" w:hAnsi="Courier New" w:hint="default"/>
      </w:rPr>
    </w:lvl>
    <w:lvl w:ilvl="2" w:tplc="E9FACF52">
      <w:start w:val="1"/>
      <w:numFmt w:val="bullet"/>
      <w:lvlText w:val=""/>
      <w:lvlJc w:val="left"/>
      <w:pPr>
        <w:ind w:left="2160" w:hanging="360"/>
      </w:pPr>
      <w:rPr>
        <w:rFonts w:ascii="Wingdings" w:hAnsi="Wingdings" w:hint="default"/>
      </w:rPr>
    </w:lvl>
    <w:lvl w:ilvl="3" w:tplc="0EE24482">
      <w:start w:val="1"/>
      <w:numFmt w:val="bullet"/>
      <w:lvlText w:val=""/>
      <w:lvlJc w:val="left"/>
      <w:pPr>
        <w:ind w:left="2880" w:hanging="360"/>
      </w:pPr>
      <w:rPr>
        <w:rFonts w:ascii="Symbol" w:hAnsi="Symbol" w:hint="default"/>
      </w:rPr>
    </w:lvl>
    <w:lvl w:ilvl="4" w:tplc="9934DA9E">
      <w:start w:val="1"/>
      <w:numFmt w:val="bullet"/>
      <w:lvlText w:val="o"/>
      <w:lvlJc w:val="left"/>
      <w:pPr>
        <w:ind w:left="3600" w:hanging="360"/>
      </w:pPr>
      <w:rPr>
        <w:rFonts w:ascii="Courier New" w:hAnsi="Courier New" w:hint="default"/>
      </w:rPr>
    </w:lvl>
    <w:lvl w:ilvl="5" w:tplc="85847B2C">
      <w:start w:val="1"/>
      <w:numFmt w:val="bullet"/>
      <w:lvlText w:val=""/>
      <w:lvlJc w:val="left"/>
      <w:pPr>
        <w:ind w:left="4320" w:hanging="360"/>
      </w:pPr>
      <w:rPr>
        <w:rFonts w:ascii="Wingdings" w:hAnsi="Wingdings" w:hint="default"/>
      </w:rPr>
    </w:lvl>
    <w:lvl w:ilvl="6" w:tplc="CD9EC47E">
      <w:start w:val="1"/>
      <w:numFmt w:val="bullet"/>
      <w:lvlText w:val=""/>
      <w:lvlJc w:val="left"/>
      <w:pPr>
        <w:ind w:left="5040" w:hanging="360"/>
      </w:pPr>
      <w:rPr>
        <w:rFonts w:ascii="Symbol" w:hAnsi="Symbol" w:hint="default"/>
      </w:rPr>
    </w:lvl>
    <w:lvl w:ilvl="7" w:tplc="C5C0E4E0">
      <w:start w:val="1"/>
      <w:numFmt w:val="bullet"/>
      <w:lvlText w:val="o"/>
      <w:lvlJc w:val="left"/>
      <w:pPr>
        <w:ind w:left="5760" w:hanging="360"/>
      </w:pPr>
      <w:rPr>
        <w:rFonts w:ascii="Courier New" w:hAnsi="Courier New" w:hint="default"/>
      </w:rPr>
    </w:lvl>
    <w:lvl w:ilvl="8" w:tplc="20409A5E">
      <w:start w:val="1"/>
      <w:numFmt w:val="bullet"/>
      <w:lvlText w:val=""/>
      <w:lvlJc w:val="left"/>
      <w:pPr>
        <w:ind w:left="6480" w:hanging="360"/>
      </w:pPr>
      <w:rPr>
        <w:rFonts w:ascii="Wingdings" w:hAnsi="Wingdings" w:hint="default"/>
      </w:rPr>
    </w:lvl>
  </w:abstractNum>
  <w:abstractNum w:abstractNumId="7">
    <w:nsid w:val="3A73190D"/>
    <w:multiLevelType w:val="hybridMultilevel"/>
    <w:tmpl w:val="95C41D38"/>
    <w:lvl w:ilvl="0" w:tplc="A844EA92">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D5E76CC"/>
    <w:multiLevelType w:val="hybridMultilevel"/>
    <w:tmpl w:val="502E45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EBD1C70"/>
    <w:multiLevelType w:val="hybridMultilevel"/>
    <w:tmpl w:val="078CCF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4B9F4717"/>
    <w:multiLevelType w:val="hybridMultilevel"/>
    <w:tmpl w:val="1F78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BB32B9"/>
    <w:multiLevelType w:val="hybridMultilevel"/>
    <w:tmpl w:val="A9CA56B6"/>
    <w:lvl w:ilvl="0" w:tplc="296A23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59632BB"/>
    <w:multiLevelType w:val="hybridMultilevel"/>
    <w:tmpl w:val="C3786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C335254"/>
    <w:multiLevelType w:val="hybridMultilevel"/>
    <w:tmpl w:val="361E8D9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0920544"/>
    <w:multiLevelType w:val="hybridMultilevel"/>
    <w:tmpl w:val="2F96F2B4"/>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629700BB"/>
    <w:multiLevelType w:val="hybridMultilevel"/>
    <w:tmpl w:val="4D2CEF4A"/>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nsid w:val="687D5105"/>
    <w:multiLevelType w:val="hybridMultilevel"/>
    <w:tmpl w:val="E7DA4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8C7F37"/>
    <w:multiLevelType w:val="hybridMultilevel"/>
    <w:tmpl w:val="C1B4BD0E"/>
    <w:lvl w:ilvl="0" w:tplc="FFFFFFFF">
      <w:start w:val="1"/>
      <w:numFmt w:val="decimal"/>
      <w:lvlText w:val="%1."/>
      <w:lvlJc w:val="left"/>
      <w:pPr>
        <w:ind w:left="720" w:hanging="360"/>
      </w:pPr>
      <w:rPr>
        <w:rFonts w:hint="default"/>
      </w:rPr>
    </w:lvl>
    <w:lvl w:ilvl="1" w:tplc="08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76973FEC"/>
    <w:multiLevelType w:val="hybridMultilevel"/>
    <w:tmpl w:val="EC9239BC"/>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F681258"/>
    <w:multiLevelType w:val="hybridMultilevel"/>
    <w:tmpl w:val="D8C0BBFE"/>
    <w:lvl w:ilvl="0" w:tplc="0809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num w:numId="1">
    <w:abstractNumId w:val="6"/>
  </w:num>
  <w:num w:numId="2">
    <w:abstractNumId w:val="10"/>
  </w:num>
  <w:num w:numId="3">
    <w:abstractNumId w:val="3"/>
  </w:num>
  <w:num w:numId="4">
    <w:abstractNumId w:val="5"/>
  </w:num>
  <w:num w:numId="5">
    <w:abstractNumId w:val="11"/>
  </w:num>
  <w:num w:numId="6">
    <w:abstractNumId w:val="12"/>
  </w:num>
  <w:num w:numId="7">
    <w:abstractNumId w:val="8"/>
  </w:num>
  <w:num w:numId="8">
    <w:abstractNumId w:val="7"/>
  </w:num>
  <w:num w:numId="9">
    <w:abstractNumId w:val="18"/>
  </w:num>
  <w:num w:numId="10">
    <w:abstractNumId w:val="13"/>
  </w:num>
  <w:num w:numId="11">
    <w:abstractNumId w:val="0"/>
  </w:num>
  <w:num w:numId="12">
    <w:abstractNumId w:val="9"/>
  </w:num>
  <w:num w:numId="13">
    <w:abstractNumId w:val="4"/>
  </w:num>
  <w:num w:numId="14">
    <w:abstractNumId w:val="16"/>
  </w:num>
  <w:num w:numId="15">
    <w:abstractNumId w:val="14"/>
  </w:num>
  <w:num w:numId="16">
    <w:abstractNumId w:val="2"/>
  </w:num>
  <w:num w:numId="17">
    <w:abstractNumId w:val="1"/>
  </w:num>
  <w:num w:numId="18">
    <w:abstractNumId w:val="17"/>
  </w:num>
  <w:num w:numId="19">
    <w:abstractNumId w:val="15"/>
  </w:num>
  <w:num w:numId="20">
    <w:abstractNumId w:val="19"/>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z Tinlin">
    <w15:presenceInfo w15:providerId="None" w15:userId="Liz Tinlin"/>
  </w15:person>
  <w15:person w15:author="Dodds, Paul">
    <w15:presenceInfo w15:providerId="AD" w15:userId="S::ucftped@ucl.ac.uk::e942e311-9947-4e1b-83dc-f782b60a70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trackRevisions/>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22B"/>
    <w:rsid w:val="00011951"/>
    <w:rsid w:val="000148F3"/>
    <w:rsid w:val="0001677E"/>
    <w:rsid w:val="0001722C"/>
    <w:rsid w:val="00036997"/>
    <w:rsid w:val="00047196"/>
    <w:rsid w:val="00054681"/>
    <w:rsid w:val="00055861"/>
    <w:rsid w:val="000636AA"/>
    <w:rsid w:val="000659F9"/>
    <w:rsid w:val="00072C0B"/>
    <w:rsid w:val="00076870"/>
    <w:rsid w:val="000853FE"/>
    <w:rsid w:val="000901FC"/>
    <w:rsid w:val="0009163D"/>
    <w:rsid w:val="00093652"/>
    <w:rsid w:val="000A0504"/>
    <w:rsid w:val="000A128E"/>
    <w:rsid w:val="000A34C7"/>
    <w:rsid w:val="000C04FD"/>
    <w:rsid w:val="000C137C"/>
    <w:rsid w:val="000C6490"/>
    <w:rsid w:val="000D0D8B"/>
    <w:rsid w:val="000D1274"/>
    <w:rsid w:val="000D4C83"/>
    <w:rsid w:val="000D640D"/>
    <w:rsid w:val="000E3167"/>
    <w:rsid w:val="000F3CD7"/>
    <w:rsid w:val="00101339"/>
    <w:rsid w:val="00116D80"/>
    <w:rsid w:val="0012410C"/>
    <w:rsid w:val="00126EDF"/>
    <w:rsid w:val="001303FF"/>
    <w:rsid w:val="001323A4"/>
    <w:rsid w:val="001414BB"/>
    <w:rsid w:val="00144B9B"/>
    <w:rsid w:val="00146FB7"/>
    <w:rsid w:val="00156B07"/>
    <w:rsid w:val="00161B66"/>
    <w:rsid w:val="00167D11"/>
    <w:rsid w:val="001706D0"/>
    <w:rsid w:val="00174A35"/>
    <w:rsid w:val="00175B9C"/>
    <w:rsid w:val="00183D9C"/>
    <w:rsid w:val="00194FFB"/>
    <w:rsid w:val="00195738"/>
    <w:rsid w:val="00195B71"/>
    <w:rsid w:val="001A06D2"/>
    <w:rsid w:val="001A54A2"/>
    <w:rsid w:val="001A7B38"/>
    <w:rsid w:val="001B0532"/>
    <w:rsid w:val="001B13DF"/>
    <w:rsid w:val="001C27E3"/>
    <w:rsid w:val="001C476D"/>
    <w:rsid w:val="001D7E68"/>
    <w:rsid w:val="001E1820"/>
    <w:rsid w:val="001E29B9"/>
    <w:rsid w:val="001F23B9"/>
    <w:rsid w:val="001F473C"/>
    <w:rsid w:val="00233F2E"/>
    <w:rsid w:val="00242BE3"/>
    <w:rsid w:val="0024494A"/>
    <w:rsid w:val="002474C5"/>
    <w:rsid w:val="00253240"/>
    <w:rsid w:val="002559AA"/>
    <w:rsid w:val="002632A2"/>
    <w:rsid w:val="00265386"/>
    <w:rsid w:val="00271C7A"/>
    <w:rsid w:val="00292B7F"/>
    <w:rsid w:val="00293BD5"/>
    <w:rsid w:val="002966EA"/>
    <w:rsid w:val="002A3E78"/>
    <w:rsid w:val="002A74E8"/>
    <w:rsid w:val="002B10B8"/>
    <w:rsid w:val="002B5A73"/>
    <w:rsid w:val="002B6CED"/>
    <w:rsid w:val="002B73BC"/>
    <w:rsid w:val="002C4F34"/>
    <w:rsid w:val="002C64C8"/>
    <w:rsid w:val="002D4B23"/>
    <w:rsid w:val="002D4DED"/>
    <w:rsid w:val="002D5214"/>
    <w:rsid w:val="002F05D1"/>
    <w:rsid w:val="002F5362"/>
    <w:rsid w:val="00304B41"/>
    <w:rsid w:val="0030612A"/>
    <w:rsid w:val="00306F1B"/>
    <w:rsid w:val="00314B23"/>
    <w:rsid w:val="00327A4C"/>
    <w:rsid w:val="00337653"/>
    <w:rsid w:val="0034108A"/>
    <w:rsid w:val="0034154B"/>
    <w:rsid w:val="0034608E"/>
    <w:rsid w:val="00351236"/>
    <w:rsid w:val="0035377A"/>
    <w:rsid w:val="00361F38"/>
    <w:rsid w:val="0036200F"/>
    <w:rsid w:val="00362B94"/>
    <w:rsid w:val="00365903"/>
    <w:rsid w:val="00366740"/>
    <w:rsid w:val="00370429"/>
    <w:rsid w:val="00377F2B"/>
    <w:rsid w:val="0038639C"/>
    <w:rsid w:val="00393FC8"/>
    <w:rsid w:val="00394245"/>
    <w:rsid w:val="003971B8"/>
    <w:rsid w:val="003A1F00"/>
    <w:rsid w:val="003A4CD2"/>
    <w:rsid w:val="003B0B07"/>
    <w:rsid w:val="003C0053"/>
    <w:rsid w:val="003C1B30"/>
    <w:rsid w:val="003C50D8"/>
    <w:rsid w:val="003D1462"/>
    <w:rsid w:val="003D7BF3"/>
    <w:rsid w:val="003E02BA"/>
    <w:rsid w:val="003E18FB"/>
    <w:rsid w:val="003E7742"/>
    <w:rsid w:val="003E7936"/>
    <w:rsid w:val="003F7E0D"/>
    <w:rsid w:val="0040515C"/>
    <w:rsid w:val="00410141"/>
    <w:rsid w:val="004118C2"/>
    <w:rsid w:val="004119D3"/>
    <w:rsid w:val="004306A9"/>
    <w:rsid w:val="00437718"/>
    <w:rsid w:val="00451A6C"/>
    <w:rsid w:val="00456610"/>
    <w:rsid w:val="00461BFB"/>
    <w:rsid w:val="00463A23"/>
    <w:rsid w:val="00470368"/>
    <w:rsid w:val="0047091A"/>
    <w:rsid w:val="004736A1"/>
    <w:rsid w:val="0047588F"/>
    <w:rsid w:val="00477F0C"/>
    <w:rsid w:val="00483886"/>
    <w:rsid w:val="004866D0"/>
    <w:rsid w:val="00490D93"/>
    <w:rsid w:val="004A15D6"/>
    <w:rsid w:val="004B66F0"/>
    <w:rsid w:val="004C27AF"/>
    <w:rsid w:val="004D1A5A"/>
    <w:rsid w:val="004E12AC"/>
    <w:rsid w:val="004E2F63"/>
    <w:rsid w:val="004E469E"/>
    <w:rsid w:val="004E6763"/>
    <w:rsid w:val="004F603F"/>
    <w:rsid w:val="005034C6"/>
    <w:rsid w:val="00504C75"/>
    <w:rsid w:val="005058AA"/>
    <w:rsid w:val="0050673B"/>
    <w:rsid w:val="005149D7"/>
    <w:rsid w:val="00516E84"/>
    <w:rsid w:val="00525B00"/>
    <w:rsid w:val="005339BF"/>
    <w:rsid w:val="0053408D"/>
    <w:rsid w:val="00540DD7"/>
    <w:rsid w:val="00546816"/>
    <w:rsid w:val="00547F29"/>
    <w:rsid w:val="00550478"/>
    <w:rsid w:val="00555142"/>
    <w:rsid w:val="00556540"/>
    <w:rsid w:val="0056137F"/>
    <w:rsid w:val="00573C1D"/>
    <w:rsid w:val="00574E94"/>
    <w:rsid w:val="005776E4"/>
    <w:rsid w:val="0058134D"/>
    <w:rsid w:val="00584D8D"/>
    <w:rsid w:val="00590691"/>
    <w:rsid w:val="00590AFB"/>
    <w:rsid w:val="0059581C"/>
    <w:rsid w:val="005976A3"/>
    <w:rsid w:val="00597B09"/>
    <w:rsid w:val="005A1A9A"/>
    <w:rsid w:val="005A50FF"/>
    <w:rsid w:val="005B0D54"/>
    <w:rsid w:val="005B1C19"/>
    <w:rsid w:val="005B6DC2"/>
    <w:rsid w:val="005C38B9"/>
    <w:rsid w:val="005C65C4"/>
    <w:rsid w:val="005D5911"/>
    <w:rsid w:val="005D6807"/>
    <w:rsid w:val="005F65E9"/>
    <w:rsid w:val="0060400E"/>
    <w:rsid w:val="00610D41"/>
    <w:rsid w:val="00621E36"/>
    <w:rsid w:val="00622502"/>
    <w:rsid w:val="00622FC3"/>
    <w:rsid w:val="0062430A"/>
    <w:rsid w:val="006423FF"/>
    <w:rsid w:val="00642619"/>
    <w:rsid w:val="00650FE3"/>
    <w:rsid w:val="00663964"/>
    <w:rsid w:val="006657FA"/>
    <w:rsid w:val="00683830"/>
    <w:rsid w:val="0068545C"/>
    <w:rsid w:val="006928A3"/>
    <w:rsid w:val="00696504"/>
    <w:rsid w:val="006A622B"/>
    <w:rsid w:val="006B4B8A"/>
    <w:rsid w:val="006C43B0"/>
    <w:rsid w:val="006C49FE"/>
    <w:rsid w:val="006C5FD5"/>
    <w:rsid w:val="006D4F99"/>
    <w:rsid w:val="006E5811"/>
    <w:rsid w:val="006E5F13"/>
    <w:rsid w:val="006E7F36"/>
    <w:rsid w:val="006F048B"/>
    <w:rsid w:val="00703362"/>
    <w:rsid w:val="00712455"/>
    <w:rsid w:val="00712F5A"/>
    <w:rsid w:val="0071348B"/>
    <w:rsid w:val="00714416"/>
    <w:rsid w:val="00724BEC"/>
    <w:rsid w:val="00726700"/>
    <w:rsid w:val="00742AD5"/>
    <w:rsid w:val="007443D9"/>
    <w:rsid w:val="00747BCC"/>
    <w:rsid w:val="00751F2C"/>
    <w:rsid w:val="00755785"/>
    <w:rsid w:val="00757776"/>
    <w:rsid w:val="00757F62"/>
    <w:rsid w:val="0076228F"/>
    <w:rsid w:val="00765D18"/>
    <w:rsid w:val="007673CF"/>
    <w:rsid w:val="007718AD"/>
    <w:rsid w:val="00772C5F"/>
    <w:rsid w:val="00777934"/>
    <w:rsid w:val="0078525B"/>
    <w:rsid w:val="00786A82"/>
    <w:rsid w:val="0079025E"/>
    <w:rsid w:val="00793173"/>
    <w:rsid w:val="007936E9"/>
    <w:rsid w:val="00797238"/>
    <w:rsid w:val="007A118A"/>
    <w:rsid w:val="007A5381"/>
    <w:rsid w:val="007B06C0"/>
    <w:rsid w:val="007B4E9B"/>
    <w:rsid w:val="007C6D88"/>
    <w:rsid w:val="007D4A8E"/>
    <w:rsid w:val="007D6060"/>
    <w:rsid w:val="007E0097"/>
    <w:rsid w:val="007E5E4B"/>
    <w:rsid w:val="007E7894"/>
    <w:rsid w:val="007F389B"/>
    <w:rsid w:val="007F7603"/>
    <w:rsid w:val="0080061E"/>
    <w:rsid w:val="0080657F"/>
    <w:rsid w:val="00811B72"/>
    <w:rsid w:val="008130CE"/>
    <w:rsid w:val="00813333"/>
    <w:rsid w:val="00815810"/>
    <w:rsid w:val="00824C04"/>
    <w:rsid w:val="0083780D"/>
    <w:rsid w:val="008422B4"/>
    <w:rsid w:val="0085121A"/>
    <w:rsid w:val="0085243F"/>
    <w:rsid w:val="008530AF"/>
    <w:rsid w:val="00853CD0"/>
    <w:rsid w:val="00856EF1"/>
    <w:rsid w:val="00863BB8"/>
    <w:rsid w:val="00866E21"/>
    <w:rsid w:val="00867EDE"/>
    <w:rsid w:val="008710E2"/>
    <w:rsid w:val="008732C1"/>
    <w:rsid w:val="00875938"/>
    <w:rsid w:val="00882AB0"/>
    <w:rsid w:val="0088386B"/>
    <w:rsid w:val="00887C01"/>
    <w:rsid w:val="008A3794"/>
    <w:rsid w:val="008A4E48"/>
    <w:rsid w:val="008A7D6A"/>
    <w:rsid w:val="008B1374"/>
    <w:rsid w:val="008B24E7"/>
    <w:rsid w:val="008B3919"/>
    <w:rsid w:val="008D0935"/>
    <w:rsid w:val="008E3E30"/>
    <w:rsid w:val="008E4FCB"/>
    <w:rsid w:val="008E6EE7"/>
    <w:rsid w:val="008F21D5"/>
    <w:rsid w:val="008F3124"/>
    <w:rsid w:val="008F607A"/>
    <w:rsid w:val="008F64B2"/>
    <w:rsid w:val="0090112A"/>
    <w:rsid w:val="009071C6"/>
    <w:rsid w:val="009078DB"/>
    <w:rsid w:val="00923934"/>
    <w:rsid w:val="00924AB5"/>
    <w:rsid w:val="009270E1"/>
    <w:rsid w:val="00943D14"/>
    <w:rsid w:val="0095027A"/>
    <w:rsid w:val="00965F35"/>
    <w:rsid w:val="009760FC"/>
    <w:rsid w:val="00984181"/>
    <w:rsid w:val="00985228"/>
    <w:rsid w:val="009918DE"/>
    <w:rsid w:val="009B3080"/>
    <w:rsid w:val="009C0977"/>
    <w:rsid w:val="009C166D"/>
    <w:rsid w:val="009C3375"/>
    <w:rsid w:val="009C6D0C"/>
    <w:rsid w:val="009D2843"/>
    <w:rsid w:val="009E045E"/>
    <w:rsid w:val="009F14F1"/>
    <w:rsid w:val="009F3A57"/>
    <w:rsid w:val="00A00EA7"/>
    <w:rsid w:val="00A0245B"/>
    <w:rsid w:val="00A0622C"/>
    <w:rsid w:val="00A20D8E"/>
    <w:rsid w:val="00A23B0F"/>
    <w:rsid w:val="00A33196"/>
    <w:rsid w:val="00A35EAF"/>
    <w:rsid w:val="00A540F5"/>
    <w:rsid w:val="00A55717"/>
    <w:rsid w:val="00A56A05"/>
    <w:rsid w:val="00A56D6D"/>
    <w:rsid w:val="00A61162"/>
    <w:rsid w:val="00A617F0"/>
    <w:rsid w:val="00A64E23"/>
    <w:rsid w:val="00A6592F"/>
    <w:rsid w:val="00A80659"/>
    <w:rsid w:val="00A808B4"/>
    <w:rsid w:val="00A8256A"/>
    <w:rsid w:val="00A83900"/>
    <w:rsid w:val="00A85C0D"/>
    <w:rsid w:val="00A85C6E"/>
    <w:rsid w:val="00A86D7A"/>
    <w:rsid w:val="00A90AC1"/>
    <w:rsid w:val="00A91776"/>
    <w:rsid w:val="00A945B3"/>
    <w:rsid w:val="00A96DFA"/>
    <w:rsid w:val="00AA3148"/>
    <w:rsid w:val="00AD65FE"/>
    <w:rsid w:val="00AD73BB"/>
    <w:rsid w:val="00AE28D8"/>
    <w:rsid w:val="00AE543C"/>
    <w:rsid w:val="00AF1930"/>
    <w:rsid w:val="00B16619"/>
    <w:rsid w:val="00B20DA9"/>
    <w:rsid w:val="00B31A78"/>
    <w:rsid w:val="00B327BD"/>
    <w:rsid w:val="00B43D04"/>
    <w:rsid w:val="00B500B0"/>
    <w:rsid w:val="00B51BE4"/>
    <w:rsid w:val="00B54363"/>
    <w:rsid w:val="00B54409"/>
    <w:rsid w:val="00B61B19"/>
    <w:rsid w:val="00B81E3F"/>
    <w:rsid w:val="00B82C60"/>
    <w:rsid w:val="00B838A4"/>
    <w:rsid w:val="00B96F85"/>
    <w:rsid w:val="00B97C73"/>
    <w:rsid w:val="00BA290F"/>
    <w:rsid w:val="00BA31C2"/>
    <w:rsid w:val="00BA44C7"/>
    <w:rsid w:val="00BA5EC1"/>
    <w:rsid w:val="00BB06B5"/>
    <w:rsid w:val="00BB4B3E"/>
    <w:rsid w:val="00BC357D"/>
    <w:rsid w:val="00BD2C76"/>
    <w:rsid w:val="00BD46E9"/>
    <w:rsid w:val="00BD537B"/>
    <w:rsid w:val="00BD676D"/>
    <w:rsid w:val="00BF57C5"/>
    <w:rsid w:val="00C0003D"/>
    <w:rsid w:val="00C00AA7"/>
    <w:rsid w:val="00C00D3E"/>
    <w:rsid w:val="00C0170A"/>
    <w:rsid w:val="00C13A16"/>
    <w:rsid w:val="00C20FD0"/>
    <w:rsid w:val="00C2645F"/>
    <w:rsid w:val="00C37052"/>
    <w:rsid w:val="00C44940"/>
    <w:rsid w:val="00C47625"/>
    <w:rsid w:val="00C602AF"/>
    <w:rsid w:val="00C603B0"/>
    <w:rsid w:val="00C622CA"/>
    <w:rsid w:val="00C64C4D"/>
    <w:rsid w:val="00C651A7"/>
    <w:rsid w:val="00C75122"/>
    <w:rsid w:val="00C7595A"/>
    <w:rsid w:val="00C75B43"/>
    <w:rsid w:val="00C7639E"/>
    <w:rsid w:val="00C76545"/>
    <w:rsid w:val="00C84DCD"/>
    <w:rsid w:val="00C9690E"/>
    <w:rsid w:val="00CA3D20"/>
    <w:rsid w:val="00CA4FB8"/>
    <w:rsid w:val="00CB62DB"/>
    <w:rsid w:val="00CC41FB"/>
    <w:rsid w:val="00CD5BC1"/>
    <w:rsid w:val="00CE4563"/>
    <w:rsid w:val="00CE4E91"/>
    <w:rsid w:val="00CE6C35"/>
    <w:rsid w:val="00CF03BF"/>
    <w:rsid w:val="00CF088C"/>
    <w:rsid w:val="00CF6C5C"/>
    <w:rsid w:val="00CF794E"/>
    <w:rsid w:val="00D01684"/>
    <w:rsid w:val="00D027AA"/>
    <w:rsid w:val="00D11DE4"/>
    <w:rsid w:val="00D13738"/>
    <w:rsid w:val="00D1702B"/>
    <w:rsid w:val="00D20E72"/>
    <w:rsid w:val="00D217A0"/>
    <w:rsid w:val="00D27DAF"/>
    <w:rsid w:val="00D323BD"/>
    <w:rsid w:val="00D46EBD"/>
    <w:rsid w:val="00D524DB"/>
    <w:rsid w:val="00D55C06"/>
    <w:rsid w:val="00D61744"/>
    <w:rsid w:val="00D62E29"/>
    <w:rsid w:val="00D70929"/>
    <w:rsid w:val="00D721EE"/>
    <w:rsid w:val="00D74E07"/>
    <w:rsid w:val="00D8253D"/>
    <w:rsid w:val="00DA24F4"/>
    <w:rsid w:val="00DA78FF"/>
    <w:rsid w:val="00DB5BB8"/>
    <w:rsid w:val="00DC7F4A"/>
    <w:rsid w:val="00DD32CF"/>
    <w:rsid w:val="00DE32BD"/>
    <w:rsid w:val="00DE3DCF"/>
    <w:rsid w:val="00DF341E"/>
    <w:rsid w:val="00E03A02"/>
    <w:rsid w:val="00E06AC8"/>
    <w:rsid w:val="00E079DA"/>
    <w:rsid w:val="00E16879"/>
    <w:rsid w:val="00E27592"/>
    <w:rsid w:val="00E422FC"/>
    <w:rsid w:val="00E4445D"/>
    <w:rsid w:val="00E537BC"/>
    <w:rsid w:val="00E7025A"/>
    <w:rsid w:val="00E83AA2"/>
    <w:rsid w:val="00EA2BBE"/>
    <w:rsid w:val="00EA544F"/>
    <w:rsid w:val="00EB253F"/>
    <w:rsid w:val="00EB5060"/>
    <w:rsid w:val="00EB5A8F"/>
    <w:rsid w:val="00EB7B01"/>
    <w:rsid w:val="00EB7F2B"/>
    <w:rsid w:val="00ED33C0"/>
    <w:rsid w:val="00EE0F25"/>
    <w:rsid w:val="00EE0F55"/>
    <w:rsid w:val="00EE4B8A"/>
    <w:rsid w:val="00EF5BC0"/>
    <w:rsid w:val="00EF61CB"/>
    <w:rsid w:val="00F01354"/>
    <w:rsid w:val="00F16202"/>
    <w:rsid w:val="00F17D9F"/>
    <w:rsid w:val="00F219A2"/>
    <w:rsid w:val="00F23CA0"/>
    <w:rsid w:val="00F24548"/>
    <w:rsid w:val="00F32A53"/>
    <w:rsid w:val="00F36237"/>
    <w:rsid w:val="00F40FA6"/>
    <w:rsid w:val="00F5133B"/>
    <w:rsid w:val="00F65AA4"/>
    <w:rsid w:val="00F72EC6"/>
    <w:rsid w:val="00F77664"/>
    <w:rsid w:val="00F77D30"/>
    <w:rsid w:val="00F839A2"/>
    <w:rsid w:val="00F83A7C"/>
    <w:rsid w:val="00F85B25"/>
    <w:rsid w:val="00F9313C"/>
    <w:rsid w:val="00F96484"/>
    <w:rsid w:val="00FA3A6C"/>
    <w:rsid w:val="00FA4CC9"/>
    <w:rsid w:val="00FB49F3"/>
    <w:rsid w:val="00FC0DB5"/>
    <w:rsid w:val="00FD16D4"/>
    <w:rsid w:val="00FD3C27"/>
    <w:rsid w:val="00FD6467"/>
    <w:rsid w:val="00FE1E71"/>
    <w:rsid w:val="00FE4AC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409F5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8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0F3CD7"/>
    <w:pPr>
      <w:framePr w:hSpace="180" w:wrap="around" w:vAnchor="page" w:hAnchor="margin" w:y="3427"/>
      <w:spacing w:after="200" w:line="276" w:lineRule="auto"/>
      <w:outlineLvl w:val="1"/>
    </w:pPr>
    <w:rPr>
      <w:rFonts w:asciiTheme="majorHAnsi" w:eastAsiaTheme="minorEastAsia" w:hAnsiTheme="majorHAnsi"/>
      <w:b/>
      <w:color w:val="5B9BD5" w:themeColor="accent1"/>
      <w:sz w:val="40"/>
      <w:szCs w:val="40"/>
      <w:lang w:val="en-US"/>
    </w:rPr>
  </w:style>
  <w:style w:type="paragraph" w:styleId="Heading3">
    <w:name w:val="heading 3"/>
    <w:basedOn w:val="Normal"/>
    <w:next w:val="Normal"/>
    <w:link w:val="Heading3Char"/>
    <w:uiPriority w:val="9"/>
    <w:semiHidden/>
    <w:unhideWhenUsed/>
    <w:qFormat/>
    <w:rsid w:val="0012410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62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622B"/>
  </w:style>
  <w:style w:type="paragraph" w:styleId="Footer">
    <w:name w:val="footer"/>
    <w:basedOn w:val="Normal"/>
    <w:link w:val="FooterChar"/>
    <w:uiPriority w:val="99"/>
    <w:unhideWhenUsed/>
    <w:rsid w:val="006A62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622B"/>
  </w:style>
  <w:style w:type="paragraph" w:styleId="Title">
    <w:name w:val="Title"/>
    <w:basedOn w:val="Normal"/>
    <w:next w:val="Normal"/>
    <w:link w:val="TitleChar"/>
    <w:uiPriority w:val="1"/>
    <w:qFormat/>
    <w:rsid w:val="006A622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
    <w:rsid w:val="006A622B"/>
    <w:rPr>
      <w:rFonts w:asciiTheme="majorHAnsi" w:eastAsiaTheme="majorEastAsia" w:hAnsiTheme="majorHAnsi" w:cstheme="majorBidi"/>
      <w:spacing w:val="-10"/>
      <w:kern w:val="28"/>
      <w:sz w:val="56"/>
      <w:szCs w:val="56"/>
    </w:rPr>
  </w:style>
  <w:style w:type="paragraph" w:styleId="TOC1">
    <w:name w:val="toc 1"/>
    <w:basedOn w:val="Normal"/>
    <w:uiPriority w:val="39"/>
    <w:rsid w:val="000F3CD7"/>
    <w:pPr>
      <w:tabs>
        <w:tab w:val="right" w:leader="dot" w:pos="5040"/>
      </w:tabs>
      <w:spacing w:after="0" w:line="276" w:lineRule="auto"/>
    </w:pPr>
    <w:rPr>
      <w:rFonts w:eastAsiaTheme="minorEastAsia"/>
      <w:b/>
      <w:color w:val="000000" w:themeColor="text1"/>
      <w:sz w:val="28"/>
      <w:lang w:val="en-US"/>
    </w:rPr>
  </w:style>
  <w:style w:type="paragraph" w:styleId="TOC2">
    <w:name w:val="toc 2"/>
    <w:basedOn w:val="Normal"/>
    <w:uiPriority w:val="39"/>
    <w:rsid w:val="000F3CD7"/>
    <w:pPr>
      <w:tabs>
        <w:tab w:val="right" w:leader="dot" w:pos="5040"/>
      </w:tabs>
      <w:spacing w:after="0" w:line="276" w:lineRule="auto"/>
    </w:pPr>
    <w:rPr>
      <w:rFonts w:eastAsiaTheme="minorEastAsia"/>
      <w:b/>
      <w:color w:val="000000" w:themeColor="text1"/>
      <w:sz w:val="28"/>
      <w:lang w:val="en-US"/>
    </w:rPr>
  </w:style>
  <w:style w:type="table" w:styleId="TableGrid">
    <w:name w:val="Table Grid"/>
    <w:basedOn w:val="TableNormal"/>
    <w:rsid w:val="000F3CD7"/>
    <w:pPr>
      <w:spacing w:after="0" w:line="240" w:lineRule="auto"/>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3CD7"/>
    <w:pPr>
      <w:ind w:left="720"/>
      <w:contextualSpacing/>
    </w:pPr>
  </w:style>
  <w:style w:type="character" w:customStyle="1" w:styleId="Heading2Char">
    <w:name w:val="Heading 2 Char"/>
    <w:basedOn w:val="DefaultParagraphFont"/>
    <w:link w:val="Heading2"/>
    <w:uiPriority w:val="9"/>
    <w:rsid w:val="000F3CD7"/>
    <w:rPr>
      <w:rFonts w:asciiTheme="majorHAnsi" w:eastAsiaTheme="minorEastAsia" w:hAnsiTheme="majorHAnsi"/>
      <w:b/>
      <w:color w:val="5B9BD5" w:themeColor="accent1"/>
      <w:sz w:val="40"/>
      <w:szCs w:val="40"/>
      <w:lang w:val="en-US"/>
    </w:rPr>
  </w:style>
  <w:style w:type="paragraph" w:customStyle="1" w:styleId="Content">
    <w:name w:val="Content"/>
    <w:basedOn w:val="Normal"/>
    <w:link w:val="ContentChar"/>
    <w:qFormat/>
    <w:rsid w:val="000F3CD7"/>
    <w:pPr>
      <w:framePr w:hSpace="180" w:wrap="around" w:vAnchor="page" w:hAnchor="margin" w:y="3427"/>
      <w:spacing w:after="0" w:line="240" w:lineRule="auto"/>
    </w:pPr>
    <w:rPr>
      <w:rFonts w:eastAsiaTheme="minorEastAsia"/>
      <w:color w:val="000000" w:themeColor="text1"/>
      <w:sz w:val="28"/>
      <w:lang w:val="en-US"/>
    </w:rPr>
  </w:style>
  <w:style w:type="character" w:customStyle="1" w:styleId="ContentChar">
    <w:name w:val="Content Char"/>
    <w:basedOn w:val="DefaultParagraphFont"/>
    <w:link w:val="Content"/>
    <w:rsid w:val="000F3CD7"/>
    <w:rPr>
      <w:rFonts w:eastAsiaTheme="minorEastAsia"/>
      <w:color w:val="000000" w:themeColor="text1"/>
      <w:sz w:val="28"/>
      <w:lang w:val="en-US"/>
    </w:rPr>
  </w:style>
  <w:style w:type="paragraph" w:customStyle="1" w:styleId="Default">
    <w:name w:val="Default"/>
    <w:rsid w:val="000F3CD7"/>
    <w:pPr>
      <w:autoSpaceDE w:val="0"/>
      <w:autoSpaceDN w:val="0"/>
      <w:adjustRightInd w:val="0"/>
      <w:spacing w:after="0" w:line="240" w:lineRule="auto"/>
    </w:pPr>
    <w:rPr>
      <w:rFonts w:ascii="Verdana" w:eastAsiaTheme="minorEastAsia" w:hAnsi="Verdana" w:cs="Verdana"/>
      <w:color w:val="000000"/>
      <w:sz w:val="24"/>
      <w:szCs w:val="24"/>
      <w:lang w:eastAsia="ja-JP"/>
    </w:rPr>
  </w:style>
  <w:style w:type="character" w:styleId="CommentReference">
    <w:name w:val="annotation reference"/>
    <w:basedOn w:val="DefaultParagraphFont"/>
    <w:uiPriority w:val="99"/>
    <w:semiHidden/>
    <w:unhideWhenUsed/>
    <w:rsid w:val="00242BE3"/>
    <w:rPr>
      <w:sz w:val="18"/>
      <w:szCs w:val="18"/>
    </w:rPr>
  </w:style>
  <w:style w:type="paragraph" w:styleId="CommentText">
    <w:name w:val="annotation text"/>
    <w:basedOn w:val="Normal"/>
    <w:link w:val="CommentTextChar"/>
    <w:uiPriority w:val="99"/>
    <w:unhideWhenUsed/>
    <w:rsid w:val="00242BE3"/>
    <w:pPr>
      <w:spacing w:after="0" w:line="240" w:lineRule="auto"/>
    </w:pPr>
    <w:rPr>
      <w:rFonts w:eastAsiaTheme="minorEastAsia"/>
      <w:sz w:val="24"/>
      <w:szCs w:val="24"/>
      <w:lang w:val="en-US"/>
    </w:rPr>
  </w:style>
  <w:style w:type="character" w:customStyle="1" w:styleId="CommentTextChar">
    <w:name w:val="Comment Text Char"/>
    <w:basedOn w:val="DefaultParagraphFont"/>
    <w:link w:val="CommentText"/>
    <w:uiPriority w:val="99"/>
    <w:rsid w:val="00242BE3"/>
    <w:rPr>
      <w:rFonts w:eastAsiaTheme="minorEastAsia"/>
      <w:sz w:val="24"/>
      <w:szCs w:val="24"/>
      <w:lang w:val="en-US"/>
    </w:rPr>
  </w:style>
  <w:style w:type="paragraph" w:styleId="BalloonText">
    <w:name w:val="Balloon Text"/>
    <w:basedOn w:val="Normal"/>
    <w:link w:val="BalloonTextChar"/>
    <w:uiPriority w:val="99"/>
    <w:semiHidden/>
    <w:unhideWhenUsed/>
    <w:rsid w:val="00242B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2BE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42BE3"/>
    <w:pPr>
      <w:spacing w:after="160"/>
    </w:pPr>
    <w:rPr>
      <w:rFonts w:eastAsiaTheme="minorHAnsi"/>
      <w:b/>
      <w:bCs/>
      <w:sz w:val="20"/>
      <w:szCs w:val="20"/>
      <w:lang w:val="en-GB"/>
    </w:rPr>
  </w:style>
  <w:style w:type="character" w:customStyle="1" w:styleId="CommentSubjectChar">
    <w:name w:val="Comment Subject Char"/>
    <w:basedOn w:val="CommentTextChar"/>
    <w:link w:val="CommentSubject"/>
    <w:uiPriority w:val="99"/>
    <w:semiHidden/>
    <w:rsid w:val="00242BE3"/>
    <w:rPr>
      <w:rFonts w:eastAsiaTheme="minorEastAsia"/>
      <w:b/>
      <w:bCs/>
      <w:sz w:val="20"/>
      <w:szCs w:val="20"/>
      <w:lang w:val="en-US"/>
    </w:rPr>
  </w:style>
  <w:style w:type="character" w:customStyle="1" w:styleId="Heading3Char">
    <w:name w:val="Heading 3 Char"/>
    <w:basedOn w:val="DefaultParagraphFont"/>
    <w:link w:val="Heading3"/>
    <w:uiPriority w:val="9"/>
    <w:rsid w:val="0012410C"/>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F01354"/>
    <w:pPr>
      <w:spacing w:after="0" w:line="240" w:lineRule="auto"/>
    </w:pPr>
  </w:style>
  <w:style w:type="character" w:styleId="Hyperlink">
    <w:name w:val="Hyperlink"/>
    <w:basedOn w:val="DefaultParagraphFont"/>
    <w:uiPriority w:val="99"/>
    <w:unhideWhenUsed/>
    <w:rsid w:val="005D6807"/>
    <w:rPr>
      <w:color w:val="0563C1" w:themeColor="hyperlink"/>
      <w:u w:val="single"/>
    </w:rPr>
  </w:style>
  <w:style w:type="character" w:customStyle="1" w:styleId="UnresolvedMention1">
    <w:name w:val="Unresolved Mention1"/>
    <w:basedOn w:val="DefaultParagraphFont"/>
    <w:uiPriority w:val="99"/>
    <w:semiHidden/>
    <w:unhideWhenUsed/>
    <w:rsid w:val="005D6807"/>
    <w:rPr>
      <w:color w:val="605E5C"/>
      <w:shd w:val="clear" w:color="auto" w:fill="E1DFDD"/>
    </w:rPr>
  </w:style>
  <w:style w:type="paragraph" w:styleId="FootnoteText">
    <w:name w:val="footnote text"/>
    <w:basedOn w:val="Normal"/>
    <w:link w:val="FootnoteTextChar"/>
    <w:uiPriority w:val="99"/>
    <w:unhideWhenUsed/>
    <w:rsid w:val="000A34C7"/>
    <w:pPr>
      <w:spacing w:after="0" w:line="240" w:lineRule="auto"/>
    </w:pPr>
    <w:rPr>
      <w:sz w:val="24"/>
      <w:szCs w:val="24"/>
    </w:rPr>
  </w:style>
  <w:style w:type="character" w:customStyle="1" w:styleId="FootnoteTextChar">
    <w:name w:val="Footnote Text Char"/>
    <w:basedOn w:val="DefaultParagraphFont"/>
    <w:link w:val="FootnoteText"/>
    <w:uiPriority w:val="99"/>
    <w:rsid w:val="000A34C7"/>
    <w:rPr>
      <w:sz w:val="24"/>
      <w:szCs w:val="24"/>
    </w:rPr>
  </w:style>
  <w:style w:type="character" w:styleId="FootnoteReference">
    <w:name w:val="footnote reference"/>
    <w:basedOn w:val="DefaultParagraphFont"/>
    <w:uiPriority w:val="99"/>
    <w:unhideWhenUsed/>
    <w:rsid w:val="000A34C7"/>
    <w:rPr>
      <w:vertAlign w:val="superscript"/>
    </w:rPr>
  </w:style>
  <w:style w:type="character" w:customStyle="1" w:styleId="s31">
    <w:name w:val="s31"/>
    <w:basedOn w:val="DefaultParagraphFont"/>
    <w:rsid w:val="0036200F"/>
  </w:style>
  <w:style w:type="character" w:customStyle="1" w:styleId="apple-converted-space">
    <w:name w:val="apple-converted-space"/>
    <w:basedOn w:val="DefaultParagraphFont"/>
    <w:rsid w:val="0036200F"/>
  </w:style>
  <w:style w:type="character" w:customStyle="1" w:styleId="s28">
    <w:name w:val="s28"/>
    <w:basedOn w:val="DefaultParagraphFont"/>
    <w:rsid w:val="0036200F"/>
  </w:style>
  <w:style w:type="character" w:styleId="Strong">
    <w:name w:val="Strong"/>
    <w:basedOn w:val="DefaultParagraphFont"/>
    <w:uiPriority w:val="22"/>
    <w:qFormat/>
    <w:rsid w:val="0098418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8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0F3CD7"/>
    <w:pPr>
      <w:framePr w:hSpace="180" w:wrap="around" w:vAnchor="page" w:hAnchor="margin" w:y="3427"/>
      <w:spacing w:after="200" w:line="276" w:lineRule="auto"/>
      <w:outlineLvl w:val="1"/>
    </w:pPr>
    <w:rPr>
      <w:rFonts w:asciiTheme="majorHAnsi" w:eastAsiaTheme="minorEastAsia" w:hAnsiTheme="majorHAnsi"/>
      <w:b/>
      <w:color w:val="5B9BD5" w:themeColor="accent1"/>
      <w:sz w:val="40"/>
      <w:szCs w:val="40"/>
      <w:lang w:val="en-US"/>
    </w:rPr>
  </w:style>
  <w:style w:type="paragraph" w:styleId="Heading3">
    <w:name w:val="heading 3"/>
    <w:basedOn w:val="Normal"/>
    <w:next w:val="Normal"/>
    <w:link w:val="Heading3Char"/>
    <w:uiPriority w:val="9"/>
    <w:semiHidden/>
    <w:unhideWhenUsed/>
    <w:qFormat/>
    <w:rsid w:val="0012410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62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622B"/>
  </w:style>
  <w:style w:type="paragraph" w:styleId="Footer">
    <w:name w:val="footer"/>
    <w:basedOn w:val="Normal"/>
    <w:link w:val="FooterChar"/>
    <w:uiPriority w:val="99"/>
    <w:unhideWhenUsed/>
    <w:rsid w:val="006A62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622B"/>
  </w:style>
  <w:style w:type="paragraph" w:styleId="Title">
    <w:name w:val="Title"/>
    <w:basedOn w:val="Normal"/>
    <w:next w:val="Normal"/>
    <w:link w:val="TitleChar"/>
    <w:uiPriority w:val="1"/>
    <w:qFormat/>
    <w:rsid w:val="006A622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
    <w:rsid w:val="006A622B"/>
    <w:rPr>
      <w:rFonts w:asciiTheme="majorHAnsi" w:eastAsiaTheme="majorEastAsia" w:hAnsiTheme="majorHAnsi" w:cstheme="majorBidi"/>
      <w:spacing w:val="-10"/>
      <w:kern w:val="28"/>
      <w:sz w:val="56"/>
      <w:szCs w:val="56"/>
    </w:rPr>
  </w:style>
  <w:style w:type="paragraph" w:styleId="TOC1">
    <w:name w:val="toc 1"/>
    <w:basedOn w:val="Normal"/>
    <w:uiPriority w:val="39"/>
    <w:rsid w:val="000F3CD7"/>
    <w:pPr>
      <w:tabs>
        <w:tab w:val="right" w:leader="dot" w:pos="5040"/>
      </w:tabs>
      <w:spacing w:after="0" w:line="276" w:lineRule="auto"/>
    </w:pPr>
    <w:rPr>
      <w:rFonts w:eastAsiaTheme="minorEastAsia"/>
      <w:b/>
      <w:color w:val="000000" w:themeColor="text1"/>
      <w:sz w:val="28"/>
      <w:lang w:val="en-US"/>
    </w:rPr>
  </w:style>
  <w:style w:type="paragraph" w:styleId="TOC2">
    <w:name w:val="toc 2"/>
    <w:basedOn w:val="Normal"/>
    <w:uiPriority w:val="39"/>
    <w:rsid w:val="000F3CD7"/>
    <w:pPr>
      <w:tabs>
        <w:tab w:val="right" w:leader="dot" w:pos="5040"/>
      </w:tabs>
      <w:spacing w:after="0" w:line="276" w:lineRule="auto"/>
    </w:pPr>
    <w:rPr>
      <w:rFonts w:eastAsiaTheme="minorEastAsia"/>
      <w:b/>
      <w:color w:val="000000" w:themeColor="text1"/>
      <w:sz w:val="28"/>
      <w:lang w:val="en-US"/>
    </w:rPr>
  </w:style>
  <w:style w:type="table" w:styleId="TableGrid">
    <w:name w:val="Table Grid"/>
    <w:basedOn w:val="TableNormal"/>
    <w:rsid w:val="000F3CD7"/>
    <w:pPr>
      <w:spacing w:after="0" w:line="240" w:lineRule="auto"/>
    </w:pPr>
    <w:rPr>
      <w:rFonts w:eastAsiaTheme="minorEastAsia"/>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3CD7"/>
    <w:pPr>
      <w:ind w:left="720"/>
      <w:contextualSpacing/>
    </w:pPr>
  </w:style>
  <w:style w:type="character" w:customStyle="1" w:styleId="Heading2Char">
    <w:name w:val="Heading 2 Char"/>
    <w:basedOn w:val="DefaultParagraphFont"/>
    <w:link w:val="Heading2"/>
    <w:uiPriority w:val="9"/>
    <w:rsid w:val="000F3CD7"/>
    <w:rPr>
      <w:rFonts w:asciiTheme="majorHAnsi" w:eastAsiaTheme="minorEastAsia" w:hAnsiTheme="majorHAnsi"/>
      <w:b/>
      <w:color w:val="5B9BD5" w:themeColor="accent1"/>
      <w:sz w:val="40"/>
      <w:szCs w:val="40"/>
      <w:lang w:val="en-US"/>
    </w:rPr>
  </w:style>
  <w:style w:type="paragraph" w:customStyle="1" w:styleId="Content">
    <w:name w:val="Content"/>
    <w:basedOn w:val="Normal"/>
    <w:link w:val="ContentChar"/>
    <w:qFormat/>
    <w:rsid w:val="000F3CD7"/>
    <w:pPr>
      <w:framePr w:hSpace="180" w:wrap="around" w:vAnchor="page" w:hAnchor="margin" w:y="3427"/>
      <w:spacing w:after="0" w:line="240" w:lineRule="auto"/>
    </w:pPr>
    <w:rPr>
      <w:rFonts w:eastAsiaTheme="minorEastAsia"/>
      <w:color w:val="000000" w:themeColor="text1"/>
      <w:sz w:val="28"/>
      <w:lang w:val="en-US"/>
    </w:rPr>
  </w:style>
  <w:style w:type="character" w:customStyle="1" w:styleId="ContentChar">
    <w:name w:val="Content Char"/>
    <w:basedOn w:val="DefaultParagraphFont"/>
    <w:link w:val="Content"/>
    <w:rsid w:val="000F3CD7"/>
    <w:rPr>
      <w:rFonts w:eastAsiaTheme="minorEastAsia"/>
      <w:color w:val="000000" w:themeColor="text1"/>
      <w:sz w:val="28"/>
      <w:lang w:val="en-US"/>
    </w:rPr>
  </w:style>
  <w:style w:type="paragraph" w:customStyle="1" w:styleId="Default">
    <w:name w:val="Default"/>
    <w:rsid w:val="000F3CD7"/>
    <w:pPr>
      <w:autoSpaceDE w:val="0"/>
      <w:autoSpaceDN w:val="0"/>
      <w:adjustRightInd w:val="0"/>
      <w:spacing w:after="0" w:line="240" w:lineRule="auto"/>
    </w:pPr>
    <w:rPr>
      <w:rFonts w:ascii="Verdana" w:eastAsiaTheme="minorEastAsia" w:hAnsi="Verdana" w:cs="Verdana"/>
      <w:color w:val="000000"/>
      <w:sz w:val="24"/>
      <w:szCs w:val="24"/>
      <w:lang w:eastAsia="ja-JP"/>
    </w:rPr>
  </w:style>
  <w:style w:type="character" w:styleId="CommentReference">
    <w:name w:val="annotation reference"/>
    <w:basedOn w:val="DefaultParagraphFont"/>
    <w:uiPriority w:val="99"/>
    <w:semiHidden/>
    <w:unhideWhenUsed/>
    <w:rsid w:val="00242BE3"/>
    <w:rPr>
      <w:sz w:val="18"/>
      <w:szCs w:val="18"/>
    </w:rPr>
  </w:style>
  <w:style w:type="paragraph" w:styleId="CommentText">
    <w:name w:val="annotation text"/>
    <w:basedOn w:val="Normal"/>
    <w:link w:val="CommentTextChar"/>
    <w:uiPriority w:val="99"/>
    <w:unhideWhenUsed/>
    <w:rsid w:val="00242BE3"/>
    <w:pPr>
      <w:spacing w:after="0" w:line="240" w:lineRule="auto"/>
    </w:pPr>
    <w:rPr>
      <w:rFonts w:eastAsiaTheme="minorEastAsia"/>
      <w:sz w:val="24"/>
      <w:szCs w:val="24"/>
      <w:lang w:val="en-US"/>
    </w:rPr>
  </w:style>
  <w:style w:type="character" w:customStyle="1" w:styleId="CommentTextChar">
    <w:name w:val="Comment Text Char"/>
    <w:basedOn w:val="DefaultParagraphFont"/>
    <w:link w:val="CommentText"/>
    <w:uiPriority w:val="99"/>
    <w:rsid w:val="00242BE3"/>
    <w:rPr>
      <w:rFonts w:eastAsiaTheme="minorEastAsia"/>
      <w:sz w:val="24"/>
      <w:szCs w:val="24"/>
      <w:lang w:val="en-US"/>
    </w:rPr>
  </w:style>
  <w:style w:type="paragraph" w:styleId="BalloonText">
    <w:name w:val="Balloon Text"/>
    <w:basedOn w:val="Normal"/>
    <w:link w:val="BalloonTextChar"/>
    <w:uiPriority w:val="99"/>
    <w:semiHidden/>
    <w:unhideWhenUsed/>
    <w:rsid w:val="00242B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2BE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42BE3"/>
    <w:pPr>
      <w:spacing w:after="160"/>
    </w:pPr>
    <w:rPr>
      <w:rFonts w:eastAsiaTheme="minorHAnsi"/>
      <w:b/>
      <w:bCs/>
      <w:sz w:val="20"/>
      <w:szCs w:val="20"/>
      <w:lang w:val="en-GB"/>
    </w:rPr>
  </w:style>
  <w:style w:type="character" w:customStyle="1" w:styleId="CommentSubjectChar">
    <w:name w:val="Comment Subject Char"/>
    <w:basedOn w:val="CommentTextChar"/>
    <w:link w:val="CommentSubject"/>
    <w:uiPriority w:val="99"/>
    <w:semiHidden/>
    <w:rsid w:val="00242BE3"/>
    <w:rPr>
      <w:rFonts w:eastAsiaTheme="minorEastAsia"/>
      <w:b/>
      <w:bCs/>
      <w:sz w:val="20"/>
      <w:szCs w:val="20"/>
      <w:lang w:val="en-US"/>
    </w:rPr>
  </w:style>
  <w:style w:type="character" w:customStyle="1" w:styleId="Heading3Char">
    <w:name w:val="Heading 3 Char"/>
    <w:basedOn w:val="DefaultParagraphFont"/>
    <w:link w:val="Heading3"/>
    <w:uiPriority w:val="9"/>
    <w:rsid w:val="0012410C"/>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F01354"/>
    <w:pPr>
      <w:spacing w:after="0" w:line="240" w:lineRule="auto"/>
    </w:pPr>
  </w:style>
  <w:style w:type="character" w:styleId="Hyperlink">
    <w:name w:val="Hyperlink"/>
    <w:basedOn w:val="DefaultParagraphFont"/>
    <w:uiPriority w:val="99"/>
    <w:unhideWhenUsed/>
    <w:rsid w:val="005D6807"/>
    <w:rPr>
      <w:color w:val="0563C1" w:themeColor="hyperlink"/>
      <w:u w:val="single"/>
    </w:rPr>
  </w:style>
  <w:style w:type="character" w:customStyle="1" w:styleId="UnresolvedMention1">
    <w:name w:val="Unresolved Mention1"/>
    <w:basedOn w:val="DefaultParagraphFont"/>
    <w:uiPriority w:val="99"/>
    <w:semiHidden/>
    <w:unhideWhenUsed/>
    <w:rsid w:val="005D6807"/>
    <w:rPr>
      <w:color w:val="605E5C"/>
      <w:shd w:val="clear" w:color="auto" w:fill="E1DFDD"/>
    </w:rPr>
  </w:style>
  <w:style w:type="paragraph" w:styleId="FootnoteText">
    <w:name w:val="footnote text"/>
    <w:basedOn w:val="Normal"/>
    <w:link w:val="FootnoteTextChar"/>
    <w:uiPriority w:val="99"/>
    <w:unhideWhenUsed/>
    <w:rsid w:val="000A34C7"/>
    <w:pPr>
      <w:spacing w:after="0" w:line="240" w:lineRule="auto"/>
    </w:pPr>
    <w:rPr>
      <w:sz w:val="24"/>
      <w:szCs w:val="24"/>
    </w:rPr>
  </w:style>
  <w:style w:type="character" w:customStyle="1" w:styleId="FootnoteTextChar">
    <w:name w:val="Footnote Text Char"/>
    <w:basedOn w:val="DefaultParagraphFont"/>
    <w:link w:val="FootnoteText"/>
    <w:uiPriority w:val="99"/>
    <w:rsid w:val="000A34C7"/>
    <w:rPr>
      <w:sz w:val="24"/>
      <w:szCs w:val="24"/>
    </w:rPr>
  </w:style>
  <w:style w:type="character" w:styleId="FootnoteReference">
    <w:name w:val="footnote reference"/>
    <w:basedOn w:val="DefaultParagraphFont"/>
    <w:uiPriority w:val="99"/>
    <w:unhideWhenUsed/>
    <w:rsid w:val="000A34C7"/>
    <w:rPr>
      <w:vertAlign w:val="superscript"/>
    </w:rPr>
  </w:style>
  <w:style w:type="character" w:customStyle="1" w:styleId="s31">
    <w:name w:val="s31"/>
    <w:basedOn w:val="DefaultParagraphFont"/>
    <w:rsid w:val="0036200F"/>
  </w:style>
  <w:style w:type="character" w:customStyle="1" w:styleId="apple-converted-space">
    <w:name w:val="apple-converted-space"/>
    <w:basedOn w:val="DefaultParagraphFont"/>
    <w:rsid w:val="0036200F"/>
  </w:style>
  <w:style w:type="character" w:customStyle="1" w:styleId="s28">
    <w:name w:val="s28"/>
    <w:basedOn w:val="DefaultParagraphFont"/>
    <w:rsid w:val="0036200F"/>
  </w:style>
  <w:style w:type="character" w:styleId="Strong">
    <w:name w:val="Strong"/>
    <w:basedOn w:val="DefaultParagraphFont"/>
    <w:uiPriority w:val="22"/>
    <w:qFormat/>
    <w:rsid w:val="009841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3250">
      <w:bodyDiv w:val="1"/>
      <w:marLeft w:val="0"/>
      <w:marRight w:val="0"/>
      <w:marTop w:val="0"/>
      <w:marBottom w:val="0"/>
      <w:divBdr>
        <w:top w:val="none" w:sz="0" w:space="0" w:color="auto"/>
        <w:left w:val="none" w:sz="0" w:space="0" w:color="auto"/>
        <w:bottom w:val="none" w:sz="0" w:space="0" w:color="auto"/>
        <w:right w:val="none" w:sz="0" w:space="0" w:color="auto"/>
      </w:divBdr>
    </w:div>
    <w:div w:id="183790162">
      <w:bodyDiv w:val="1"/>
      <w:marLeft w:val="0"/>
      <w:marRight w:val="0"/>
      <w:marTop w:val="0"/>
      <w:marBottom w:val="0"/>
      <w:divBdr>
        <w:top w:val="none" w:sz="0" w:space="0" w:color="auto"/>
        <w:left w:val="none" w:sz="0" w:space="0" w:color="auto"/>
        <w:bottom w:val="none" w:sz="0" w:space="0" w:color="auto"/>
        <w:right w:val="none" w:sz="0" w:space="0" w:color="auto"/>
      </w:divBdr>
      <w:divsChild>
        <w:div w:id="1387029446">
          <w:marLeft w:val="0"/>
          <w:marRight w:val="0"/>
          <w:marTop w:val="0"/>
          <w:marBottom w:val="0"/>
          <w:divBdr>
            <w:top w:val="none" w:sz="0" w:space="0" w:color="auto"/>
            <w:left w:val="none" w:sz="0" w:space="0" w:color="auto"/>
            <w:bottom w:val="none" w:sz="0" w:space="0" w:color="auto"/>
            <w:right w:val="none" w:sz="0" w:space="0" w:color="auto"/>
          </w:divBdr>
        </w:div>
        <w:div w:id="1190412837">
          <w:marLeft w:val="0"/>
          <w:marRight w:val="0"/>
          <w:marTop w:val="0"/>
          <w:marBottom w:val="0"/>
          <w:divBdr>
            <w:top w:val="none" w:sz="0" w:space="0" w:color="auto"/>
            <w:left w:val="none" w:sz="0" w:space="0" w:color="auto"/>
            <w:bottom w:val="none" w:sz="0" w:space="0" w:color="auto"/>
            <w:right w:val="none" w:sz="0" w:space="0" w:color="auto"/>
          </w:divBdr>
        </w:div>
        <w:div w:id="420680715">
          <w:marLeft w:val="0"/>
          <w:marRight w:val="0"/>
          <w:marTop w:val="0"/>
          <w:marBottom w:val="0"/>
          <w:divBdr>
            <w:top w:val="none" w:sz="0" w:space="0" w:color="auto"/>
            <w:left w:val="none" w:sz="0" w:space="0" w:color="auto"/>
            <w:bottom w:val="none" w:sz="0" w:space="0" w:color="auto"/>
            <w:right w:val="none" w:sz="0" w:space="0" w:color="auto"/>
          </w:divBdr>
        </w:div>
      </w:divsChild>
    </w:div>
    <w:div w:id="353072593">
      <w:bodyDiv w:val="1"/>
      <w:marLeft w:val="0"/>
      <w:marRight w:val="0"/>
      <w:marTop w:val="0"/>
      <w:marBottom w:val="0"/>
      <w:divBdr>
        <w:top w:val="none" w:sz="0" w:space="0" w:color="auto"/>
        <w:left w:val="none" w:sz="0" w:space="0" w:color="auto"/>
        <w:bottom w:val="none" w:sz="0" w:space="0" w:color="auto"/>
        <w:right w:val="none" w:sz="0" w:space="0" w:color="auto"/>
      </w:divBdr>
    </w:div>
    <w:div w:id="1486311622">
      <w:bodyDiv w:val="1"/>
      <w:marLeft w:val="0"/>
      <w:marRight w:val="0"/>
      <w:marTop w:val="0"/>
      <w:marBottom w:val="0"/>
      <w:divBdr>
        <w:top w:val="none" w:sz="0" w:space="0" w:color="auto"/>
        <w:left w:val="none" w:sz="0" w:space="0" w:color="auto"/>
        <w:bottom w:val="none" w:sz="0" w:space="0" w:color="auto"/>
        <w:right w:val="none" w:sz="0" w:space="0" w:color="auto"/>
      </w:divBdr>
      <w:divsChild>
        <w:div w:id="1025131453">
          <w:marLeft w:val="0"/>
          <w:marRight w:val="0"/>
          <w:marTop w:val="0"/>
          <w:marBottom w:val="0"/>
          <w:divBdr>
            <w:top w:val="none" w:sz="0" w:space="0" w:color="auto"/>
            <w:left w:val="none" w:sz="0" w:space="0" w:color="auto"/>
            <w:bottom w:val="none" w:sz="0" w:space="0" w:color="auto"/>
            <w:right w:val="none" w:sz="0" w:space="0" w:color="auto"/>
          </w:divBdr>
        </w:div>
        <w:div w:id="1396394086">
          <w:marLeft w:val="0"/>
          <w:marRight w:val="0"/>
          <w:marTop w:val="0"/>
          <w:marBottom w:val="0"/>
          <w:divBdr>
            <w:top w:val="none" w:sz="0" w:space="0" w:color="auto"/>
            <w:left w:val="none" w:sz="0" w:space="0" w:color="auto"/>
            <w:bottom w:val="none" w:sz="0" w:space="0" w:color="auto"/>
            <w:right w:val="none" w:sz="0" w:space="0" w:color="auto"/>
          </w:divBdr>
        </w:div>
        <w:div w:id="269122861">
          <w:marLeft w:val="0"/>
          <w:marRight w:val="0"/>
          <w:marTop w:val="0"/>
          <w:marBottom w:val="0"/>
          <w:divBdr>
            <w:top w:val="none" w:sz="0" w:space="0" w:color="auto"/>
            <w:left w:val="none" w:sz="0" w:space="0" w:color="auto"/>
            <w:bottom w:val="none" w:sz="0" w:space="0" w:color="auto"/>
            <w:right w:val="none" w:sz="0" w:space="0" w:color="auto"/>
          </w:divBdr>
        </w:div>
      </w:divsChild>
    </w:div>
    <w:div w:id="182245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18" Type="http://schemas.microsoft.com/office/2011/relationships/people" Target="people.xml"/><Relationship Id="rId8" Type="http://schemas.openxmlformats.org/officeDocument/2006/relationships/endnotes" Target="endnotes.xml"/><Relationship Id="rId3" Type="http://schemas.openxmlformats.org/officeDocument/2006/relationships/styles" Target="styles.xml"/><Relationship Id="rId21" Type="http://schemas.openxmlformats.org/officeDocument/2006/relationships/customXml" Target="../customXml/item4.xml"/><Relationship Id="rId12" Type="http://schemas.openxmlformats.org/officeDocument/2006/relationships/footer" Target="footer1.xml"/><Relationship Id="rId17" Type="http://schemas.microsoft.com/office/2018/08/relationships/commentsExtensible" Target="commentsExtensible.xml"/><Relationship Id="rId7" Type="http://schemas.openxmlformats.org/officeDocument/2006/relationships/footnotes" Target="footnotes.xml"/><Relationship Id="rId16" Type="http://schemas.microsoft.com/office/2016/09/relationships/commentsIds" Target="commentsIds.xml"/><Relationship Id="rId2" Type="http://schemas.openxmlformats.org/officeDocument/2006/relationships/numbering" Target="numbering.xml"/><Relationship Id="rId20" Type="http://schemas.openxmlformats.org/officeDocument/2006/relationships/customXml" Target="../customXml/item3.xml"/><Relationship Id="rId1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image" Target="media/image2.svg"/><Relationship Id="rId19" Type="http://schemas.openxmlformats.org/officeDocument/2006/relationships/customXml" Target="../customXml/item2.xml"/><Relationship Id="rId1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ofgem.gov.uk/guidance/riio-3-business-plan-guid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Props1.xml><?xml version="1.0" encoding="utf-8"?>
<ds:datastoreItem xmlns:ds="http://schemas.openxmlformats.org/officeDocument/2006/customXml" ds:itemID="{CDA7D9F9-E88B-1845-8476-78112B469F00}">
  <ds:schemaRefs>
    <ds:schemaRef ds:uri="http://schemas.openxmlformats.org/officeDocument/2006/bibliography"/>
  </ds:schemaRefs>
</ds:datastoreItem>
</file>

<file path=customXml/itemProps2.xml><?xml version="1.0" encoding="utf-8"?>
<ds:datastoreItem xmlns:ds="http://schemas.openxmlformats.org/officeDocument/2006/customXml" ds:itemID="{8E3D19DF-A5F4-49AC-B04E-01300F76E142}"/>
</file>

<file path=customXml/itemProps3.xml><?xml version="1.0" encoding="utf-8"?>
<ds:datastoreItem xmlns:ds="http://schemas.openxmlformats.org/officeDocument/2006/customXml" ds:itemID="{BD4C4169-756F-4931-B669-74F721C5CD00}"/>
</file>

<file path=customXml/itemProps4.xml><?xml version="1.0" encoding="utf-8"?>
<ds:datastoreItem xmlns:ds="http://schemas.openxmlformats.org/officeDocument/2006/customXml" ds:itemID="{3E682A19-588C-4B2A-90F1-007A2255F023}"/>
</file>

<file path=docProps/app.xml><?xml version="1.0" encoding="utf-8"?>
<Properties xmlns="http://schemas.openxmlformats.org/officeDocument/2006/extended-properties" xmlns:vt="http://schemas.openxmlformats.org/officeDocument/2006/docPropsVTypes">
  <Template>Normal.dotm</Template>
  <TotalTime>1</TotalTime>
  <Pages>8</Pages>
  <Words>3864</Words>
  <Characters>22029</Characters>
  <Application>Microsoft Macintosh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Tinlin</dc:creator>
  <cp:keywords/>
  <dc:description/>
  <cp:lastModifiedBy>Angela Love</cp:lastModifiedBy>
  <cp:revision>2</cp:revision>
  <dcterms:created xsi:type="dcterms:W3CDTF">2025-08-25T17:38:00Z</dcterms:created>
  <dcterms:modified xsi:type="dcterms:W3CDTF">2025-08-25T17:38:00Z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ies>
</file>